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B2ECE">
      <w:pPr>
        <w:keepNext w:val="0"/>
        <w:keepLines w:val="0"/>
        <w:pageBreakBefore w:val="0"/>
        <w:widowControl/>
        <w:kinsoku/>
        <w:wordWrap/>
        <w:overflowPunct/>
        <w:topLinePunct w:val="0"/>
        <w:autoSpaceDE/>
        <w:bidi w:val="0"/>
        <w:adjustRightInd/>
        <w:snapToGrid/>
        <w:spacing w:line="560" w:lineRule="exact"/>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《福州市电动自行车停车场所规划管控实施细则（征求意见稿）</w:t>
      </w:r>
      <w:r>
        <w:rPr>
          <w:rFonts w:hint="eastAsia" w:ascii="方正小标宋简体" w:hAnsi="方正小标宋简体" w:eastAsia="方正小标宋简体" w:cs="方正小标宋简体"/>
          <w:b w:val="0"/>
          <w:bCs/>
          <w:color w:val="auto"/>
          <w:sz w:val="44"/>
          <w:szCs w:val="44"/>
          <w:lang w:eastAsia="zh-CN"/>
        </w:rPr>
        <w:t>》起草说明</w:t>
      </w:r>
    </w:p>
    <w:p w14:paraId="53630244">
      <w:pPr>
        <w:pStyle w:val="2"/>
        <w:rPr>
          <w:rFonts w:hint="eastAsia" w:ascii="方正小标宋简体" w:hAnsi="方正小标宋简体" w:eastAsia="方正小标宋简体" w:cs="方正小标宋简体"/>
          <w:b w:val="0"/>
          <w:bCs/>
          <w:color w:val="auto"/>
          <w:sz w:val="44"/>
          <w:szCs w:val="44"/>
        </w:rPr>
      </w:pPr>
    </w:p>
    <w:p w14:paraId="1E023F46">
      <w:pPr>
        <w:keepNext w:val="0"/>
        <w:keepLines w:val="0"/>
        <w:pageBreakBefore w:val="0"/>
        <w:kinsoku/>
        <w:wordWrap/>
        <w:overflowPunct/>
        <w:topLinePunct w:val="0"/>
        <w:autoSpaceDE/>
        <w:autoSpaceDN w:val="0"/>
        <w:bidi w:val="0"/>
        <w:adjustRightInd/>
        <w:snapToGrid/>
        <w:spacing w:after="15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现将有关《福州市电动自行车停车场所规划管控实施细则（征求意见稿）</w:t>
      </w:r>
      <w:r>
        <w:rPr>
          <w:rFonts w:hint="eastAsia" w:ascii="仿宋_GB2312" w:hAnsi="仿宋_GB2312" w:eastAsia="仿宋_GB2312" w:cs="仿宋_GB2312"/>
          <w:color w:val="auto"/>
          <w:sz w:val="32"/>
          <w:szCs w:val="32"/>
          <w:lang w:eastAsia="zh-CN"/>
        </w:rPr>
        <w:t>》起草</w:t>
      </w:r>
      <w:r>
        <w:rPr>
          <w:rFonts w:hint="eastAsia" w:ascii="仿宋_GB2312" w:hAnsi="仿宋_GB2312" w:eastAsia="仿宋_GB2312" w:cs="仿宋_GB2312"/>
          <w:color w:val="auto"/>
          <w:sz w:val="32"/>
          <w:szCs w:val="32"/>
        </w:rPr>
        <w:t>情况说明如下：</w:t>
      </w:r>
      <w:bookmarkStart w:id="0" w:name="_GoBack"/>
      <w:bookmarkEnd w:id="0"/>
    </w:p>
    <w:p w14:paraId="0F0ED8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4"/>
          <w:szCs w:val="34"/>
        </w:rPr>
      </w:pPr>
      <w:r>
        <w:rPr>
          <w:rFonts w:hint="eastAsia" w:ascii="黑体" w:hAnsi="黑体" w:eastAsia="黑体" w:cs="黑体"/>
          <w:sz w:val="32"/>
          <w:szCs w:val="32"/>
        </w:rPr>
        <w:t>一、制定的基本情况</w:t>
      </w:r>
    </w:p>
    <w:p w14:paraId="578DDB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Calibri" w:eastAsia="仿宋_GB2312" w:cs="Times New Roman"/>
          <w:sz w:val="32"/>
          <w:szCs w:val="32"/>
          <w:lang w:val="en-US" w:eastAsia="zh-CN"/>
        </w:rPr>
        <w:t>为吸取近年电动自行车安全事故的教训，全面加强电动自行车全链条安全监管，切实保障人民群众生命财产安全，以高水平安全保障高质量发展，同时</w:t>
      </w:r>
      <w:r>
        <w:rPr>
          <w:rFonts w:hint="eastAsia" w:ascii="仿宋_GB2312" w:hAnsi="仿宋_GB2312" w:eastAsia="仿宋_GB2312" w:cs="仿宋_GB2312"/>
          <w:sz w:val="32"/>
          <w:szCs w:val="32"/>
          <w:lang w:eastAsia="zh-CN"/>
        </w:rPr>
        <w:t>为贯彻落实国务院办公厅《关于印发</w:t>
      </w:r>
      <w:r>
        <w:rPr>
          <w:rFonts w:hint="eastAsia" w:ascii="仿宋_GB2312" w:hAnsi="仿宋_GB2312" w:eastAsia="仿宋_GB2312" w:cs="仿宋_GB2312"/>
          <w:sz w:val="32"/>
          <w:szCs w:val="32"/>
          <w:lang w:val="en-US" w:eastAsia="zh-CN"/>
        </w:rPr>
        <w:t>&lt;</w:t>
      </w:r>
      <w:r>
        <w:rPr>
          <w:rFonts w:hint="eastAsia" w:ascii="仿宋_GB2312" w:hAnsi="仿宋_GB2312" w:eastAsia="仿宋_GB2312" w:cs="仿宋_GB2312"/>
          <w:sz w:val="32"/>
          <w:szCs w:val="32"/>
          <w:lang w:eastAsia="zh-CN"/>
        </w:rPr>
        <w:t>电动自行车安全隐患全链条整治行动方案</w:t>
      </w:r>
      <w:r>
        <w:rPr>
          <w:rFonts w:hint="eastAsia" w:ascii="仿宋_GB2312" w:hAnsi="仿宋_GB2312" w:eastAsia="仿宋_GB2312" w:cs="仿宋_GB2312"/>
          <w:sz w:val="32"/>
          <w:szCs w:val="32"/>
          <w:lang w:val="en-US" w:eastAsia="zh-CN"/>
        </w:rPr>
        <w:t>&gt;的通知》（国办发〔2024〕19号）、福建省人民政府办公厅《关于印发&lt;福建省电动自行车安全隐患全链条整治行动实施方案&gt;的通知》（闽政办〔2024〕16号）、《福建省消防救援总队 福建省住房和城乡建设厅关于印发&lt;福建省电动自行车停放充电场所消防安全导则（试行）&gt;的通知》（闽消〔2024〕109号）、《福建省自然资源厅办公室关于印发&lt;福建省建设项目配建电动自行车停放充电场所规划管控导则（试行）&gt;的通知》、福州市人民政府办公厅《关于印发福州市电动自行车安全隐患全链条整治行动实施方案的通知》（榕政办〔2024〕35号）等有关文件要求，</w:t>
      </w:r>
      <w:r>
        <w:rPr>
          <w:rFonts w:hint="eastAsia" w:ascii="仿宋_GB2312" w:hAnsi="仿宋_GB2312" w:eastAsia="仿宋_GB2312" w:cs="仿宋_GB2312"/>
          <w:color w:val="auto"/>
          <w:kern w:val="2"/>
          <w:sz w:val="32"/>
          <w:szCs w:val="32"/>
          <w:lang w:val="en-US" w:eastAsia="zh-CN" w:bidi="ar"/>
        </w:rPr>
        <w:t>形成《</w:t>
      </w:r>
      <w:r>
        <w:rPr>
          <w:rFonts w:hint="default" w:ascii="仿宋_GB2312" w:hAnsi="仿宋_GB2312" w:eastAsia="仿宋_GB2312" w:cs="仿宋_GB2312"/>
          <w:sz w:val="32"/>
          <w:szCs w:val="32"/>
          <w:lang w:val="en" w:eastAsia="zh-CN"/>
        </w:rPr>
        <w:t>福州市电动自行车停车场所规划管控实施细则（试行）</w:t>
      </w:r>
      <w:r>
        <w:rPr>
          <w:rFonts w:hint="eastAsia" w:ascii="仿宋_GB2312" w:hAnsi="仿宋_GB2312" w:eastAsia="仿宋_GB2312" w:cs="仿宋_GB2312"/>
          <w:sz w:val="32"/>
          <w:szCs w:val="32"/>
          <w:lang w:val="en-US" w:eastAsia="zh-CN"/>
        </w:rPr>
        <w:t>》，于2024年11月印发实施。经过近两年的执行，在建设项目规划审批方面取得一定的成效，该文件有效期（两年）即将届满。</w:t>
      </w:r>
      <w:r>
        <w:rPr>
          <w:rFonts w:hint="eastAsia" w:ascii="仿宋_GB2312" w:hAnsi="仿宋_GB2312" w:eastAsia="仿宋_GB2312" w:cs="仿宋_GB2312"/>
          <w:sz w:val="32"/>
          <w:szCs w:val="32"/>
          <w:lang w:val="en" w:eastAsia="zh-CN"/>
        </w:rPr>
        <w:t>为落实地方规范性文件制定工作的合规性，秉承政策延续性原则，制定新一轮</w:t>
      </w:r>
      <w:r>
        <w:rPr>
          <w:rFonts w:hint="eastAsia" w:ascii="仿宋_GB2312" w:hAnsi="仿宋_GB2312" w:eastAsia="仿宋_GB2312" w:cs="仿宋_GB2312"/>
          <w:sz w:val="32"/>
          <w:szCs w:val="32"/>
          <w:lang w:val="en-US" w:eastAsia="zh-CN"/>
        </w:rPr>
        <w:t>《福州市电动自行车停车场所规划管控实施细则》。</w:t>
      </w:r>
    </w:p>
    <w:p w14:paraId="4CBF9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4"/>
          <w:szCs w:val="34"/>
        </w:rPr>
      </w:pPr>
      <w:r>
        <w:rPr>
          <w:rFonts w:hint="eastAsia" w:ascii="黑体" w:hAnsi="黑体" w:eastAsia="黑体" w:cs="黑体"/>
          <w:sz w:val="32"/>
          <w:szCs w:val="32"/>
        </w:rPr>
        <w:t>二、起草过程和制定依据</w:t>
      </w:r>
    </w:p>
    <w:p w14:paraId="40F47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4"/>
          <w:szCs w:val="34"/>
        </w:rPr>
      </w:pPr>
      <w:r>
        <w:rPr>
          <w:rFonts w:hint="eastAsia" w:ascii="楷体_GB2312" w:hAnsi="楷体_GB2312" w:eastAsia="楷体_GB2312" w:cs="楷体_GB2312"/>
          <w:sz w:val="32"/>
          <w:szCs w:val="32"/>
        </w:rPr>
        <w:t>（一）起草过程</w:t>
      </w:r>
    </w:p>
    <w:p w14:paraId="445752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b w:val="0"/>
          <w:bCs w:val="0"/>
          <w:color w:val="auto"/>
          <w:spacing w:val="-6"/>
          <w:sz w:val="32"/>
          <w:szCs w:val="32"/>
          <w:u w:val="none"/>
          <w:lang w:eastAsia="zh-CN"/>
        </w:rPr>
        <w:t>结合</w:t>
      </w:r>
      <w:r>
        <w:rPr>
          <w:rFonts w:hint="eastAsia" w:ascii="仿宋_GB2312" w:hAnsi="仿宋_GB2312" w:eastAsia="仿宋_GB2312" w:cs="仿宋_GB2312"/>
          <w:color w:val="auto"/>
          <w:kern w:val="2"/>
          <w:sz w:val="32"/>
          <w:szCs w:val="32"/>
          <w:lang w:val="en-US" w:eastAsia="zh-CN" w:bidi="ar"/>
        </w:rPr>
        <w:t>《</w:t>
      </w:r>
      <w:r>
        <w:rPr>
          <w:rFonts w:hint="default" w:ascii="仿宋_GB2312" w:hAnsi="仿宋_GB2312" w:eastAsia="仿宋_GB2312" w:cs="仿宋_GB2312"/>
          <w:sz w:val="32"/>
          <w:szCs w:val="32"/>
          <w:lang w:val="en" w:eastAsia="zh-CN"/>
        </w:rPr>
        <w:t>福州市电动自行车停车场所规划管控实施细则（试行）</w:t>
      </w:r>
      <w:r>
        <w:rPr>
          <w:rFonts w:hint="eastAsia" w:ascii="仿宋_GB2312" w:hAnsi="仿宋_GB2312" w:eastAsia="仿宋_GB2312" w:cs="仿宋_GB2312"/>
          <w:sz w:val="32"/>
          <w:szCs w:val="32"/>
          <w:lang w:val="en-US" w:eastAsia="zh-CN"/>
        </w:rPr>
        <w:t>》施行近</w:t>
      </w:r>
      <w:r>
        <w:rPr>
          <w:rFonts w:hint="eastAsia" w:ascii="仿宋_GB2312" w:hAnsi="仿宋_GB2312" w:eastAsia="仿宋_GB2312" w:cs="仿宋_GB2312"/>
          <w:sz w:val="32"/>
          <w:szCs w:val="32"/>
          <w:lang w:val="en" w:eastAsia="zh-CN"/>
        </w:rPr>
        <w:t>两年来建设工程规划审批的具体情况，综合相关部门的意见，形成《福州市电动自行车停车场所规划管控实施细则（征求意见稿）》。</w:t>
      </w:r>
    </w:p>
    <w:p w14:paraId="1D1DFA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4"/>
          <w:szCs w:val="34"/>
        </w:rPr>
      </w:pPr>
      <w:r>
        <w:rPr>
          <w:rFonts w:hint="eastAsia" w:ascii="楷体_GB2312" w:hAnsi="楷体_GB2312" w:eastAsia="楷体_GB2312" w:cs="楷体_GB2312"/>
          <w:sz w:val="32"/>
          <w:szCs w:val="32"/>
        </w:rPr>
        <w:t>（二）制定依据</w:t>
      </w:r>
    </w:p>
    <w:p w14:paraId="4E0557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eastAsia" w:ascii="黑体" w:hAnsi="黑体" w:eastAsia="黑体" w:cs="黑体"/>
          <w:sz w:val="32"/>
          <w:szCs w:val="32"/>
        </w:rPr>
      </w:pPr>
      <w:r>
        <w:rPr>
          <w:rFonts w:hint="eastAsia" w:ascii="仿宋_GB2312" w:hAnsi="仿宋_GB2312" w:eastAsia="仿宋_GB2312" w:cs="仿宋_GB2312"/>
          <w:b w:val="0"/>
          <w:bCs w:val="0"/>
          <w:color w:val="auto"/>
          <w:spacing w:val="-6"/>
          <w:sz w:val="32"/>
          <w:szCs w:val="32"/>
          <w:u w:val="none"/>
          <w:lang w:eastAsia="zh-CN"/>
        </w:rPr>
        <w:t>《福州市人民政府办公厅关于印发福州市电动自行车安全隐患全链条整治行动实施方案的通知》（</w:t>
      </w:r>
      <w:r>
        <w:rPr>
          <w:rFonts w:hint="eastAsia" w:ascii="仿宋_GB2312" w:hAnsi="Calibri" w:eastAsia="仿宋_GB2312" w:cs="Times New Roman"/>
          <w:sz w:val="32"/>
          <w:szCs w:val="32"/>
          <w:lang w:val="en-US" w:eastAsia="zh-CN"/>
        </w:rPr>
        <w:t>榕政办〔</w:t>
      </w:r>
      <w:r>
        <w:rPr>
          <w:rFonts w:hint="eastAsia" w:ascii="仿宋_GB2312" w:eastAsia="仿宋_GB2312" w:cs="Times New Roman"/>
          <w:sz w:val="32"/>
          <w:szCs w:val="32"/>
          <w:lang w:val="en-US" w:eastAsia="zh-CN"/>
        </w:rPr>
        <w:t>2024〕35号</w:t>
      </w:r>
      <w:r>
        <w:rPr>
          <w:rFonts w:hint="eastAsia" w:ascii="仿宋_GB2312" w:hAnsi="仿宋_GB2312" w:eastAsia="仿宋_GB2312" w:cs="仿宋_GB2312"/>
          <w:b w:val="0"/>
          <w:bCs w:val="0"/>
          <w:color w:val="auto"/>
          <w:spacing w:val="-6"/>
          <w:sz w:val="32"/>
          <w:szCs w:val="32"/>
          <w:u w:val="none"/>
          <w:lang w:eastAsia="zh-CN"/>
        </w:rPr>
        <w:t>）。</w:t>
      </w:r>
    </w:p>
    <w:p w14:paraId="0CBA99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三、主要内容</w:t>
      </w:r>
    </w:p>
    <w:p w14:paraId="2C98CBD2">
      <w:pPr>
        <w:spacing w:line="520" w:lineRule="exact"/>
        <w:ind w:firstLine="640" w:firstLineChars="200"/>
        <w:rPr>
          <w:rFonts w:hint="eastAsia" w:ascii="楷体" w:hAnsi="楷体" w:eastAsia="楷体" w:cs="楷体"/>
          <w:color w:val="auto"/>
          <w:kern w:val="2"/>
          <w:sz w:val="32"/>
          <w:szCs w:val="32"/>
          <w:lang w:val="en" w:eastAsia="zh-CN" w:bidi="ar"/>
        </w:rPr>
      </w:pPr>
      <w:r>
        <w:rPr>
          <w:rFonts w:hint="eastAsia" w:ascii="楷体" w:hAnsi="楷体" w:eastAsia="楷体" w:cs="楷体"/>
          <w:color w:val="auto"/>
          <w:kern w:val="2"/>
          <w:sz w:val="32"/>
          <w:szCs w:val="32"/>
          <w:lang w:val="en" w:eastAsia="zh-CN" w:bidi="ar"/>
        </w:rPr>
        <w:t>（一）明确适用范围</w:t>
      </w:r>
    </w:p>
    <w:p w14:paraId="43B3C6B5">
      <w:pPr>
        <w:spacing w:line="520" w:lineRule="exact"/>
        <w:ind w:firstLine="640" w:firstLineChars="200"/>
        <w:rPr>
          <w:rFonts w:hint="eastAsia" w:ascii="楷体" w:hAnsi="楷体" w:eastAsia="楷体" w:cs="楷体"/>
          <w:color w:val="auto"/>
          <w:kern w:val="2"/>
          <w:sz w:val="32"/>
          <w:szCs w:val="32"/>
          <w:lang w:val="en" w:eastAsia="zh-CN" w:bidi="ar"/>
        </w:rPr>
      </w:pPr>
      <w:r>
        <w:rPr>
          <w:rFonts w:hint="eastAsia" w:ascii="仿宋_GB2312" w:eastAsia="仿宋_GB2312" w:cs="Times New Roman"/>
          <w:sz w:val="32"/>
          <w:szCs w:val="32"/>
          <w:lang w:val="en-US" w:eastAsia="zh-CN"/>
        </w:rPr>
        <w:t>福州市鼓楼区、台江区、仓山区、晋安区辖区内新建、改（扩）建建设项目，配套建设电动自行车的停放充电场所。</w:t>
      </w:r>
      <w:r>
        <w:rPr>
          <w:rFonts w:hint="eastAsia" w:ascii="仿宋_GB2312" w:hAnsi="仿宋_GB2312" w:eastAsia="仿宋_GB2312" w:cs="仿宋_GB2312"/>
          <w:b w:val="0"/>
          <w:bCs w:val="0"/>
          <w:sz w:val="32"/>
          <w:szCs w:val="32"/>
          <w:lang w:val="en-US" w:eastAsia="zh-CN"/>
        </w:rPr>
        <w:t>其他县（市）区、高新区需参照执行。</w:t>
      </w:r>
    </w:p>
    <w:p w14:paraId="60B0BBE7">
      <w:pPr>
        <w:spacing w:line="520" w:lineRule="exact"/>
        <w:ind w:firstLine="640" w:firstLineChars="200"/>
        <w:rPr>
          <w:rFonts w:hint="eastAsia" w:ascii="楷体" w:hAnsi="楷体" w:eastAsia="楷体" w:cs="楷体"/>
          <w:color w:val="auto"/>
          <w:kern w:val="2"/>
          <w:sz w:val="32"/>
          <w:szCs w:val="32"/>
          <w:lang w:val="en" w:eastAsia="zh-CN" w:bidi="ar"/>
        </w:rPr>
      </w:pPr>
      <w:r>
        <w:rPr>
          <w:rFonts w:hint="eastAsia" w:ascii="楷体" w:hAnsi="楷体" w:eastAsia="楷体" w:cs="楷体"/>
          <w:color w:val="auto"/>
          <w:kern w:val="2"/>
          <w:sz w:val="32"/>
          <w:szCs w:val="32"/>
          <w:lang w:val="en" w:eastAsia="zh-CN" w:bidi="ar"/>
        </w:rPr>
        <w:t>（二）明确管控要求</w:t>
      </w:r>
    </w:p>
    <w:p w14:paraId="219F4538">
      <w:pPr>
        <w:spacing w:line="52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分别针对新建建设项目、既有建筑、</w:t>
      </w:r>
      <w:r>
        <w:rPr>
          <w:rFonts w:hint="default" w:ascii="仿宋_GB2312" w:eastAsia="仿宋_GB2312" w:cs="Times New Roman"/>
          <w:sz w:val="32"/>
          <w:szCs w:val="32"/>
          <w:lang w:val="en-US" w:eastAsia="zh-CN"/>
        </w:rPr>
        <w:t>公共开放空间</w:t>
      </w:r>
      <w:r>
        <w:rPr>
          <w:rFonts w:hint="eastAsia" w:ascii="仿宋_GB2312" w:eastAsia="仿宋_GB2312" w:cs="Times New Roman"/>
          <w:sz w:val="32"/>
          <w:szCs w:val="32"/>
          <w:lang w:val="en-US" w:eastAsia="zh-CN"/>
        </w:rPr>
        <w:t>设置电动自行车停放场所提出管控要求，并建立健全长效机制。</w:t>
      </w:r>
    </w:p>
    <w:p w14:paraId="04A5DB37">
      <w:pPr>
        <w:spacing w:line="52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1.针对新建项目</w:t>
      </w:r>
    </w:p>
    <w:p w14:paraId="621423A2">
      <w:pPr>
        <w:spacing w:line="520" w:lineRule="exact"/>
        <w:ind w:firstLine="640" w:firstLineChars="200"/>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eastAsia="仿宋_GB2312" w:cs="Times New Roman"/>
          <w:sz w:val="32"/>
          <w:szCs w:val="32"/>
          <w:lang w:val="en" w:eastAsia="zh-CN"/>
        </w:rPr>
        <w:t>停车布局方面，一是提出</w:t>
      </w:r>
      <w:r>
        <w:rPr>
          <w:rFonts w:hint="eastAsia" w:ascii="仿宋_GB2312" w:hAnsi="仿宋_GB2312" w:eastAsia="仿宋_GB2312" w:cs="仿宋_GB2312"/>
          <w:color w:val="auto"/>
          <w:kern w:val="2"/>
          <w:sz w:val="32"/>
          <w:szCs w:val="32"/>
          <w:highlight w:val="none"/>
          <w:u w:val="none"/>
          <w:lang w:val="en-US" w:eastAsia="zh-CN" w:bidi="ar-SA"/>
        </w:rPr>
        <w:t>电动自行车停放场所不得占用消防与安全疏散出口与通道，以及与幼托、老年等人员密集公共建筑的邻避要求；二是电动自行车停放充电场所在场地内布局的设置要求；三是动自行车停放充电场所布置在地下室时的设置要求；四是符合要求的防雨设施不计密不计容。</w:t>
      </w:r>
    </w:p>
    <w:p w14:paraId="2FE3B2C6">
      <w:pPr>
        <w:spacing w:line="520" w:lineRule="exact"/>
        <w:ind w:firstLine="640" w:firstLineChars="200"/>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停车配建方面，按照</w:t>
      </w:r>
      <w:r>
        <w:rPr>
          <w:rFonts w:hint="eastAsia" w:ascii="仿宋_GB2312" w:hAnsi="仿宋_GB2312" w:eastAsia="仿宋_GB2312" w:cs="仿宋_GB2312"/>
          <w:sz w:val="32"/>
          <w:szCs w:val="32"/>
          <w:lang w:val="en-US" w:eastAsia="zh-CN"/>
        </w:rPr>
        <w:t>《福建省消防救援总队 福建省住房和城乡建设厅关于印发&lt;福建省电动自行车停放充电场所消防安全导则（试行）&gt;的通知》（闽消〔2024〕109号）、《福建省自然资源厅办公室关于印发&lt;福建省建设项目配建电动自行车停放充电场所规划管控导则（试行）&gt;的通知》，</w:t>
      </w:r>
      <w:r>
        <w:rPr>
          <w:rFonts w:hint="eastAsia" w:ascii="仿宋_GB2312" w:hAnsi="仿宋_GB2312" w:eastAsia="仿宋_GB2312" w:cs="仿宋_GB2312"/>
          <w:color w:val="auto"/>
          <w:kern w:val="2"/>
          <w:sz w:val="32"/>
          <w:szCs w:val="32"/>
          <w:highlight w:val="none"/>
          <w:u w:val="none"/>
          <w:lang w:val="en-US" w:eastAsia="zh-CN" w:bidi="ar-SA"/>
        </w:rPr>
        <w:t>明确电动自行车停车位（含充电设施）数量不小于总非机动车位数量的50%。</w:t>
      </w:r>
    </w:p>
    <w:p w14:paraId="6ED8E93F">
      <w:pPr>
        <w:spacing w:line="520" w:lineRule="exact"/>
        <w:ind w:firstLine="640" w:firstLineChars="200"/>
        <w:rPr>
          <w:rFonts w:hint="eastAsia" w:ascii="仿宋_GB2312" w:hAnsi="仿宋_GB2312" w:eastAsia="仿宋_GB2312" w:cs="仿宋_GB2312"/>
          <w:color w:val="auto"/>
          <w:kern w:val="2"/>
          <w:sz w:val="32"/>
          <w:szCs w:val="32"/>
          <w:highlight w:val="none"/>
          <w:u w:val="none"/>
          <w:lang w:val="en"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城市规划精细化管理方面，强调</w:t>
      </w:r>
      <w:r>
        <w:rPr>
          <w:rFonts w:hint="eastAsia" w:ascii="仿宋_GB2312" w:hAnsi="仿宋_GB2312" w:eastAsia="仿宋_GB2312" w:cs="仿宋_GB2312"/>
          <w:color w:val="auto"/>
          <w:kern w:val="2"/>
          <w:sz w:val="32"/>
          <w:szCs w:val="32"/>
          <w:highlight w:val="none"/>
          <w:u w:val="none"/>
          <w:lang w:val="en-US" w:eastAsia="zh-CN" w:bidi="ar-SA"/>
        </w:rPr>
        <w:t>电动自行车停放场所（含充电设施）与主体工程同时设计、同时施工、同时投入使用，并</w:t>
      </w:r>
      <w:r>
        <w:rPr>
          <w:rFonts w:hint="eastAsia" w:ascii="仿宋_GB2312" w:hAnsi="仿宋_GB2312" w:eastAsia="仿宋_GB2312" w:cs="仿宋_GB2312"/>
          <w:b w:val="0"/>
          <w:bCs w:val="0"/>
          <w:color w:val="auto"/>
          <w:kern w:val="2"/>
          <w:sz w:val="32"/>
          <w:szCs w:val="32"/>
          <w:highlight w:val="none"/>
          <w:u w:val="none"/>
          <w:lang w:val="en-US" w:eastAsia="zh-CN" w:bidi="ar-SA"/>
        </w:rPr>
        <w:t>对</w:t>
      </w:r>
      <w:r>
        <w:rPr>
          <w:rFonts w:hint="eastAsia" w:ascii="仿宋_GB2312" w:hAnsi="仿宋_GB2312" w:eastAsia="仿宋_GB2312" w:cs="仿宋_GB2312"/>
          <w:color w:val="auto"/>
          <w:kern w:val="2"/>
          <w:sz w:val="32"/>
          <w:szCs w:val="32"/>
          <w:highlight w:val="none"/>
          <w:u w:val="none"/>
          <w:lang w:val="en-US" w:eastAsia="zh-CN" w:bidi="ar-SA"/>
        </w:rPr>
        <w:t>规划建设理顺流程。</w:t>
      </w:r>
    </w:p>
    <w:p w14:paraId="6CC5C59E">
      <w:pPr>
        <w:spacing w:line="520" w:lineRule="exact"/>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2.针对既有建筑</w:t>
      </w:r>
    </w:p>
    <w:p w14:paraId="33A2DC12">
      <w:pPr>
        <w:spacing w:line="520" w:lineRule="exact"/>
        <w:ind w:firstLine="640"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eastAsia="仿宋_GB2312" w:cs="Times New Roman"/>
          <w:sz w:val="32"/>
          <w:szCs w:val="32"/>
          <w:lang w:val="en-US" w:eastAsia="zh-CN"/>
        </w:rPr>
        <w:t>为简化审批手续，方便居民日常生活，明确</w:t>
      </w:r>
      <w:r>
        <w:rPr>
          <w:rFonts w:hint="eastAsia" w:ascii="仿宋_GB2312" w:hAnsi="仿宋_GB2312" w:eastAsia="仿宋_GB2312" w:cs="仿宋_GB2312"/>
          <w:color w:val="auto"/>
          <w:sz w:val="32"/>
          <w:szCs w:val="32"/>
          <w:highlight w:val="none"/>
          <w:u w:val="none"/>
          <w:lang w:val="en-US" w:eastAsia="zh-CN"/>
        </w:rPr>
        <w:t>在既有建设用地内增设电动自行车充电设施、停车雨棚等，符合《福州市建设工程规划许可豁免清单》（第一批）（榕政办规〔2024〕7 号）有关情形的，无需办理建设工程规划许可。</w:t>
      </w:r>
    </w:p>
    <w:p w14:paraId="41AF62D7">
      <w:pPr>
        <w:spacing w:line="520" w:lineRule="exact"/>
        <w:ind w:firstLine="640" w:firstLineChars="200"/>
        <w:rPr>
          <w:rFonts w:hint="default" w:ascii="仿宋_GB2312" w:eastAsia="仿宋_GB2312" w:cs="Times New Roman"/>
          <w:sz w:val="32"/>
          <w:szCs w:val="32"/>
          <w:lang w:val="en-US" w:eastAsia="zh-CN"/>
        </w:rPr>
      </w:pPr>
      <w:r>
        <w:rPr>
          <w:rFonts w:hint="eastAsia" w:ascii="仿宋_GB2312" w:eastAsia="仿宋_GB2312" w:cs="Times New Roman"/>
          <w:sz w:val="32"/>
          <w:szCs w:val="32"/>
          <w:lang w:val="en-US" w:eastAsia="zh-CN"/>
        </w:rPr>
        <w:t>3.针对</w:t>
      </w:r>
      <w:r>
        <w:rPr>
          <w:rFonts w:hint="default" w:ascii="仿宋_GB2312" w:eastAsia="仿宋_GB2312" w:cs="Times New Roman"/>
          <w:sz w:val="32"/>
          <w:szCs w:val="32"/>
          <w:lang w:val="en-US" w:eastAsia="zh-CN"/>
        </w:rPr>
        <w:t>公共开放空间</w:t>
      </w:r>
    </w:p>
    <w:p w14:paraId="24C7E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eastAsia="仿宋_GB2312" w:cs="Times New Roman"/>
          <w:sz w:val="32"/>
          <w:szCs w:val="32"/>
          <w:lang w:val="en-US" w:eastAsia="zh-CN"/>
        </w:rPr>
        <w:t>本细则所指的</w:t>
      </w:r>
      <w:r>
        <w:rPr>
          <w:rFonts w:hint="default" w:ascii="仿宋_GB2312" w:eastAsia="仿宋_GB2312" w:cs="Times New Roman"/>
          <w:sz w:val="32"/>
          <w:szCs w:val="32"/>
          <w:lang w:val="en-US" w:eastAsia="zh-CN"/>
        </w:rPr>
        <w:t>公共开放空间</w:t>
      </w:r>
      <w:r>
        <w:rPr>
          <w:rFonts w:hint="eastAsia" w:ascii="仿宋_GB2312" w:eastAsia="仿宋_GB2312" w:cs="Times New Roman"/>
          <w:sz w:val="32"/>
          <w:szCs w:val="32"/>
          <w:lang w:val="en-US" w:eastAsia="zh-CN"/>
        </w:rPr>
        <w:t>，包括</w:t>
      </w:r>
      <w:r>
        <w:rPr>
          <w:rFonts w:hint="eastAsia" w:ascii="仿宋_GB2312" w:hAnsi="仿宋_GB2312" w:eastAsia="仿宋_GB2312" w:cs="仿宋_GB2312"/>
          <w:color w:val="auto"/>
          <w:kern w:val="2"/>
          <w:sz w:val="32"/>
          <w:szCs w:val="32"/>
          <w:highlight w:val="none"/>
          <w:u w:val="none"/>
          <w:lang w:val="en-US" w:eastAsia="zh-CN" w:bidi="ar-SA"/>
        </w:rPr>
        <w:t>地铁站点周边、商业区、公共绿地、广场、全民健身场所等，由区政府牵头，结合实际情况进行布置，不涉及规划调整，免于办理规划许可。</w:t>
      </w:r>
    </w:p>
    <w:p w14:paraId="66D76F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kern w:val="2"/>
          <w:sz w:val="32"/>
          <w:szCs w:val="32"/>
          <w:lang w:val="en" w:eastAsia="zh-CN" w:bidi="ar"/>
        </w:rPr>
      </w:pPr>
      <w:r>
        <w:rPr>
          <w:rFonts w:hint="eastAsia" w:ascii="楷体" w:hAnsi="楷体" w:eastAsia="楷体" w:cs="楷体"/>
          <w:color w:val="auto"/>
          <w:kern w:val="2"/>
          <w:sz w:val="32"/>
          <w:szCs w:val="32"/>
          <w:lang w:val="en" w:eastAsia="zh-CN" w:bidi="ar"/>
        </w:rPr>
        <w:t>（三）有效期</w:t>
      </w:r>
    </w:p>
    <w:p w14:paraId="5E56FC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val="0"/>
          <w:bCs w:val="0"/>
          <w:sz w:val="32"/>
          <w:szCs w:val="32"/>
          <w:lang w:val="en-US" w:eastAsia="zh-CN"/>
        </w:rPr>
        <w:t>本细则自发布之日起施行，有效期五年。</w:t>
      </w:r>
    </w:p>
    <w:p w14:paraId="386F73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7A0D7C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65A8F"/>
    <w:rsid w:val="06C17C94"/>
    <w:rsid w:val="0F2635FE"/>
    <w:rsid w:val="224526D9"/>
    <w:rsid w:val="27D81660"/>
    <w:rsid w:val="2DCA4031"/>
    <w:rsid w:val="36301690"/>
    <w:rsid w:val="3642697C"/>
    <w:rsid w:val="398D04A1"/>
    <w:rsid w:val="453F33B9"/>
    <w:rsid w:val="45803E8C"/>
    <w:rsid w:val="480F433D"/>
    <w:rsid w:val="4C191958"/>
    <w:rsid w:val="52850000"/>
    <w:rsid w:val="57975539"/>
    <w:rsid w:val="58CA0396"/>
    <w:rsid w:val="6209568C"/>
    <w:rsid w:val="7E3034E6"/>
    <w:rsid w:val="7EA5369B"/>
    <w:rsid w:val="7F467B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sz w:val="18"/>
      <w:szCs w:val="18"/>
    </w:rPr>
  </w:style>
  <w:style w:type="paragraph" w:customStyle="1" w:styleId="3">
    <w:name w:val="正文缩进311"/>
    <w:next w:val="1"/>
    <w:qFormat/>
    <w:uiPriority w:val="0"/>
    <w:pPr>
      <w:wordWrap w:val="0"/>
      <w:ind w:left="3400"/>
      <w:jc w:val="both"/>
    </w:pPr>
    <w:rPr>
      <w:rFonts w:ascii="Times New Roman" w:hAnsi="Times New Roman" w:eastAsia="宋体" w:cs="Times New Roman"/>
      <w:sz w:val="21"/>
      <w:szCs w:val="22"/>
      <w:lang w:val="en-US" w:eastAsia="zh-CN" w:bidi="ar-SA"/>
    </w:rPr>
  </w:style>
  <w:style w:type="paragraph" w:styleId="4">
    <w:name w:val="HTML Preformatted"/>
    <w:basedOn w:val="1"/>
    <w:qFormat/>
    <w:uiPriority w:val="0"/>
    <w:pPr>
      <w:jc w:val="left"/>
    </w:pPr>
    <w:rPr>
      <w:rFonts w:hint="eastAsia" w:ascii="宋体" w:hAnsi="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1457</Words>
  <Characters>1495</Characters>
  <Lines>0</Lines>
  <Paragraphs>0</Paragraphs>
  <TotalTime>2</TotalTime>
  <ScaleCrop>false</ScaleCrop>
  <LinksUpToDate>false</LinksUpToDate>
  <CharactersWithSpaces>1498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2026-06-11T09:30:00Z</dcterms:created>
  <dc:creator>iPhone</dc:creator>
  <cp:lastModifiedBy>清新卷卷卷</cp:lastModifiedBy>
  <dcterms:modified xsi:type="dcterms:W3CDTF">2026-10-29T07:44:16Z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99D155452FA0AE8BAF0F2A6A942911FF_31</vt:lpwstr>
  </property>
  <property fmtid="{D5CDD505-2E9C-101B-9397-08002B2CF9AE}" pid="4" name="KSOTemplateDocerSaveRecord">
    <vt:lpwstr>eyJoZGlkIjoiYmRkZDI5ODlmM2E1ODY4ZTFhM2Q1NWEzNTEwZjQwNGMiLCJ1c2VySWQiOiIzMDMxMDkwNTUifQ==</vt:lpwstr>
  </property>
</Properties>
</file>