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eastAsia="宋体" w:cs="宋体"/>
          <w:kern w:val="0"/>
          <w:sz w:val="24"/>
          <w:szCs w:val="24"/>
        </w:rPr>
      </w:pPr>
      <w:bookmarkStart w:id="0" w:name="_GoBack"/>
      <w:bookmarkEnd w:id="0"/>
      <w:r>
        <w:rPr>
          <w:rFonts w:ascii="宋体" w:hAnsi="宋体" w:eastAsia="宋体" w:cs="宋体"/>
          <w:b/>
          <w:bCs/>
          <w:kern w:val="0"/>
          <w:sz w:val="72"/>
        </w:rPr>
        <w:t>福建省政府采购</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72"/>
        </w:rPr>
        <w:t>货物和服务项目</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72"/>
        </w:rPr>
        <w:t>公开招标文件</w:t>
      </w:r>
    </w:p>
    <w:p>
      <w:pPr>
        <w:widowControl/>
        <w:spacing w:before="75" w:after="75"/>
        <w:jc w:val="left"/>
        <w:rPr>
          <w:rFonts w:ascii="宋体" w:hAnsi="宋体" w:eastAsia="宋体" w:cs="宋体"/>
          <w:kern w:val="0"/>
          <w:sz w:val="24"/>
          <w:szCs w:val="24"/>
        </w:rPr>
      </w:pPr>
      <w:r>
        <w:rPr>
          <w:rFonts w:ascii="宋体" w:hAnsi="宋体" w:eastAsia="宋体" w:cs="宋体"/>
          <w:b/>
          <w:bCs/>
          <w:kern w:val="0"/>
          <w:sz w:val="72"/>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6"/>
        </w:rPr>
        <w:t> </w:t>
      </w:r>
    </w:p>
    <w:p>
      <w:pPr>
        <w:widowControl/>
        <w:spacing w:before="75" w:after="75"/>
        <w:jc w:val="center"/>
        <w:rPr>
          <w:rFonts w:hint="eastAsia" w:ascii="宋体" w:hAnsi="宋体" w:eastAsia="宋体" w:cs="宋体"/>
          <w:b/>
          <w:bCs/>
          <w:kern w:val="0"/>
          <w:sz w:val="30"/>
        </w:rPr>
      </w:pPr>
      <w:r>
        <w:rPr>
          <w:rFonts w:ascii="宋体" w:hAnsi="宋体" w:eastAsia="宋体" w:cs="宋体"/>
          <w:b/>
          <w:bCs/>
          <w:kern w:val="0"/>
          <w:sz w:val="30"/>
        </w:rPr>
        <w:t>项目名称：福州城市标识系统规划及重点区域详细设计服务类采购项目</w:t>
      </w:r>
    </w:p>
    <w:p>
      <w:pPr>
        <w:widowControl/>
        <w:spacing w:before="75" w:after="75"/>
        <w:jc w:val="center"/>
        <w:rPr>
          <w:rFonts w:hint="eastAsia" w:ascii="宋体" w:hAnsi="宋体" w:eastAsia="宋体" w:cs="宋体"/>
          <w:b/>
          <w:bCs/>
          <w:kern w:val="0"/>
          <w:sz w:val="30"/>
        </w:rPr>
      </w:pPr>
      <w:r>
        <w:rPr>
          <w:rFonts w:ascii="宋体" w:hAnsi="宋体" w:eastAsia="宋体" w:cs="宋体"/>
          <w:b/>
          <w:bCs/>
          <w:kern w:val="0"/>
          <w:sz w:val="30"/>
        </w:rPr>
        <w:t>备案编号：A-ZYGHJ-GK-201908-B0218-IDN</w:t>
      </w:r>
    </w:p>
    <w:p>
      <w:pPr>
        <w:widowControl/>
        <w:spacing w:before="75" w:after="75"/>
        <w:jc w:val="center"/>
        <w:rPr>
          <w:rFonts w:hint="eastAsia" w:ascii="宋体" w:hAnsi="宋体" w:eastAsia="宋体" w:cs="宋体"/>
          <w:b/>
          <w:bCs/>
          <w:kern w:val="0"/>
          <w:sz w:val="30"/>
        </w:rPr>
      </w:pPr>
      <w:r>
        <w:rPr>
          <w:rFonts w:ascii="宋体" w:hAnsi="宋体" w:eastAsia="宋体" w:cs="宋体"/>
          <w:b/>
          <w:bCs/>
          <w:kern w:val="0"/>
          <w:sz w:val="30"/>
        </w:rPr>
        <w:t>招标编号：[350100]FJYS[GK]2019019</w:t>
      </w:r>
      <w:r>
        <w:rPr>
          <w:rFonts w:ascii="宋体" w:hAnsi="宋体" w:eastAsia="宋体" w:cs="宋体"/>
          <w:b/>
          <w:bCs/>
          <w:kern w:val="0"/>
          <w:sz w:val="30"/>
          <w:szCs w:val="30"/>
        </w:rPr>
        <w:br w:type="textWrapping"/>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9"/>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object>
          <v:shape id="_x0000_i1025" o:spt="201" type="#_x0000_t201" style="height:18pt;width:72pt;" o:ole="t" filled="f" o:preferrelative="t" stroked="f" coordsize="21600,21600">
            <v:path/>
            <v:fill on="f" focussize="0,0"/>
            <v:stroke on="f" joinstyle="miter"/>
            <v:imagedata r:id="rId5" o:title=""/>
            <o:lock v:ext="edit" aspectratio="t"/>
            <w10:wrap type="none"/>
            <w10:anchorlock/>
          </v:shape>
        </w:object>
      </w:r>
      <w:r>
        <w:rPr>
          <w:rFonts w:ascii="宋体" w:hAnsi="宋体" w:eastAsia="宋体" w:cs="宋体"/>
          <w:kern w:val="0"/>
          <w:sz w:val="24"/>
          <w:szCs w:val="24"/>
        </w:rPr>
        <w:object>
          <v:shape id="_x0000_i1026" o:spt="201" type="#_x0000_t201" style="height:18pt;width:72pt;" o:ole="t" filled="f" o:preferrelative="t" stroked="f" coordsize="21600,21600">
            <v:path/>
            <v:fill on="f" focussize="0,0"/>
            <v:stroke on="f" joinstyle="miter"/>
            <v:imagedata r:id="rId5" o:title=""/>
            <o:lock v:ext="edit" aspectratio="t"/>
            <w10:wrap type="none"/>
            <w10:anchorlock/>
          </v:shape>
        </w:objec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7"/>
        </w:rPr>
        <w:t>采购人：</w:t>
      </w:r>
      <w:r>
        <w:rPr>
          <w:rFonts w:ascii="宋体" w:hAnsi="宋体" w:eastAsia="宋体" w:cs="宋体"/>
          <w:kern w:val="0"/>
          <w:sz w:val="27"/>
          <w:szCs w:val="27"/>
        </w:rPr>
        <w:t> </w:t>
      </w:r>
      <w:r>
        <w:rPr>
          <w:rFonts w:ascii="宋体" w:hAnsi="宋体" w:eastAsia="宋体" w:cs="宋体"/>
          <w:b/>
          <w:bCs/>
          <w:kern w:val="0"/>
          <w:sz w:val="29"/>
        </w:rPr>
        <w:t>福州市自然资源和规划局</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9"/>
        </w:rPr>
        <w:t>代理机构：福建优胜招标代理有限公司</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9"/>
        </w:rPr>
        <w:t>2019年08月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ind w:right="720"/>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第一章   投标邀请</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组织福州城市标识系统规划及重点区域详细设计服务类采购项目（以下简称：“本项目”）的政府采购活动，现邀请供应商参加投标。</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A-ZYGHJ-GK-201908-B0218-IDN</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2、招标编号：</w:t>
      </w:r>
      <w:r>
        <w:rPr>
          <w:rFonts w:ascii="宋体" w:hAnsi="宋体" w:eastAsia="宋体" w:cs="宋体"/>
          <w:kern w:val="0"/>
          <w:sz w:val="24"/>
          <w:szCs w:val="24"/>
          <w:u w:val="single"/>
        </w:rPr>
        <w:t>[350100]FJYS[GK]2019019</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r>
        <w:rPr>
          <w:rFonts w:ascii="宋体" w:hAnsi="宋体" w:eastAsia="宋体" w:cs="宋体"/>
          <w:kern w:val="0"/>
          <w:sz w:val="24"/>
          <w:szCs w:val="24"/>
        </w:rPr>
        <w:br w:type="textWrapping"/>
      </w:r>
      <w:r>
        <w:rPr>
          <w:rFonts w:ascii="宋体" w:hAnsi="宋体" w:eastAsia="宋体" w:cs="宋体"/>
          <w:kern w:val="0"/>
          <w:sz w:val="24"/>
          <w:szCs w:val="24"/>
        </w:rPr>
        <w:t>  4、招标内容及要求：详见《采购标的一览表》及招标文件第五章。</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需要落实的政府采购政策：信用记录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4"/>
          <w:szCs w:val="24"/>
        </w:rPr>
        <w:t>①</w:t>
      </w:r>
      <w:r>
        <w:rPr>
          <w:rFonts w:ascii="宋体" w:hAnsi="宋体" w:eastAsia="宋体" w:cs="宋体"/>
          <w:kern w:val="0"/>
          <w:sz w:val="24"/>
          <w:szCs w:val="24"/>
        </w:rPr>
        <w:t>由资格审查小组通过上述网站查询并打印投标人信用记录（以下简称：“资格审查小组的查询结果”）。</w:t>
      </w:r>
      <w:r>
        <w:rPr>
          <w:rFonts w:hint="eastAsia" w:ascii="宋体" w:hAnsi="宋体" w:eastAsia="宋体" w:cs="宋体"/>
          <w:kern w:val="0"/>
          <w:sz w:val="24"/>
          <w:szCs w:val="24"/>
        </w:rPr>
        <w:t>②</w:t>
      </w:r>
      <w:r>
        <w:rPr>
          <w:rFonts w:ascii="宋体" w:hAnsi="宋体" w:eastAsia="宋体" w:cs="宋体"/>
          <w:kern w:val="0"/>
          <w:sz w:val="24"/>
          <w:szCs w:val="24"/>
        </w:rPr>
        <w:t>投标人提供的查询结果与资格审查小组的查询结果不一致的，以资格审查小组的查询结果为准。</w:t>
      </w:r>
      <w:r>
        <w:rPr>
          <w:rFonts w:hint="eastAsia" w:ascii="宋体" w:hAnsi="宋体" w:eastAsia="宋体" w:cs="宋体"/>
          <w:kern w:val="0"/>
          <w:sz w:val="24"/>
          <w:szCs w:val="24"/>
        </w:rPr>
        <w:t>③</w:t>
      </w:r>
      <w:r>
        <w:rPr>
          <w:rFonts w:ascii="宋体" w:hAnsi="宋体" w:eastAsia="宋体"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4"/>
          <w:szCs w:val="24"/>
        </w:rPr>
        <w:t>④</w:t>
      </w:r>
      <w:r>
        <w:rPr>
          <w:rFonts w:ascii="宋体" w:hAnsi="宋体" w:eastAsia="宋体" w:cs="宋体"/>
          <w:kern w:val="0"/>
          <w:sz w:val="24"/>
          <w:szCs w:val="24"/>
        </w:rPr>
        <w:t>查询结果存在投标人应被拒绝参与政府采购活动相关信息的，其资格审查不合格。</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6.2特定条件：</w:t>
      </w:r>
      <w:r>
        <w:rPr>
          <w:rFonts w:ascii="宋体" w:hAnsi="宋体" w:eastAsia="宋体" w:cs="宋体"/>
          <w:kern w:val="0"/>
          <w:sz w:val="24"/>
          <w:szCs w:val="24"/>
        </w:rPr>
        <w:br w:type="textWrapping"/>
      </w:r>
      <w:r>
        <w:rPr>
          <w:rFonts w:ascii="宋体" w:hAnsi="宋体" w:eastAsia="宋体" w:cs="宋体"/>
          <w:b/>
          <w:bCs/>
          <w:kern w:val="0"/>
          <w:sz w:val="24"/>
          <w:szCs w:val="24"/>
        </w:rPr>
        <w:t>包：1</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7、报名</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7.1报名期限：详见招标公告或更正公告（若有），若不一致，以更正公告（若有）为准。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4"/>
          <w:szCs w:val="24"/>
        </w:rPr>
        <w:t>投标将被拒绝。</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8、招标文件的获取</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8.1招标文件提供期限：详见招标公告或更正公告（若有），若不一致，以更正公告（若有）为准。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8.2获取地点及方式：报名后，通过福建省政府采购网上公开信息系统以下载方式获取。</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8.3、招标文件售价：</w:t>
      </w:r>
      <w:r>
        <w:rPr>
          <w:rFonts w:ascii="Times New Roman" w:hAnsi="Times New Roman" w:eastAsia="宋体" w:cs="Times New Roman"/>
          <w:kern w:val="0"/>
          <w:sz w:val="24"/>
          <w:szCs w:val="24"/>
        </w:rPr>
        <w:t>0</w:t>
      </w:r>
      <w:r>
        <w:rPr>
          <w:rFonts w:ascii="宋体" w:hAnsi="宋体" w:eastAsia="宋体" w:cs="宋体"/>
          <w:kern w:val="0"/>
          <w:sz w:val="24"/>
          <w:szCs w:val="24"/>
        </w:rPr>
        <w:t>元。</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9、投标截止</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9.1投标截止时间：详见招标公告或更正公告（若有），若不一致，以更正公告（若有）为准。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连同</w:t>
      </w:r>
      <w:r>
        <w:rPr>
          <w:rFonts w:ascii="宋体" w:hAnsi="宋体" w:eastAsia="宋体" w:cs="宋体"/>
          <w:b/>
          <w:bCs/>
          <w:kern w:val="0"/>
          <w:sz w:val="24"/>
          <w:szCs w:val="24"/>
        </w:rPr>
        <w:t>密封的纸质投标文件</w:t>
      </w:r>
      <w:r>
        <w:rPr>
          <w:rFonts w:ascii="宋体" w:hAnsi="宋体" w:eastAsia="宋体" w:cs="宋体"/>
          <w:kern w:val="0"/>
          <w:sz w:val="24"/>
          <w:szCs w:val="24"/>
        </w:rPr>
        <w:t>送达招标文件第一章第10条载明的地点，否则</w:t>
      </w:r>
      <w:r>
        <w:rPr>
          <w:rFonts w:ascii="宋体" w:hAnsi="宋体" w:eastAsia="宋体" w:cs="宋体"/>
          <w:b/>
          <w:bCs/>
          <w:kern w:val="0"/>
          <w:sz w:val="24"/>
          <w:szCs w:val="24"/>
        </w:rPr>
        <w:t>投标将被拒绝。</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10、开标时间及地点：详见招标公告或更正公告（若有），若不一致，以更正公告（若有）为准。</w:t>
      </w:r>
      <w:r>
        <w:rPr>
          <w:rFonts w:ascii="宋体" w:hAnsi="宋体" w:eastAsia="宋体" w:cs="宋体"/>
          <w:b/>
          <w:bCs/>
          <w:kern w:val="0"/>
          <w:sz w:val="24"/>
          <w:szCs w:val="24"/>
        </w:rPr>
        <w:t> </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11、公告期限</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ascii="宋体" w:hAnsi="宋体" w:eastAsia="宋体" w:cs="宋体"/>
          <w:kern w:val="0"/>
          <w:sz w:val="24"/>
          <w:szCs w:val="24"/>
        </w:rPr>
        <w:t>个工作日。</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11.2招标文件公告期限：招标文件随同招标公告一并发布，其公告期限与本章第</w:t>
      </w:r>
      <w:r>
        <w:rPr>
          <w:rFonts w:ascii="Times New Roman" w:hAnsi="Times New Roman" w:eastAsia="宋体" w:cs="Times New Roman"/>
          <w:kern w:val="0"/>
          <w:sz w:val="24"/>
          <w:szCs w:val="24"/>
        </w:rPr>
        <w:t>11.1</w:t>
      </w:r>
      <w:r>
        <w:rPr>
          <w:rFonts w:ascii="宋体" w:hAnsi="宋体" w:eastAsia="宋体" w:cs="宋体"/>
          <w:kern w:val="0"/>
          <w:sz w:val="24"/>
          <w:szCs w:val="24"/>
        </w:rPr>
        <w:t>条载明的期限保持一致。</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12、采购人：福州市自然资源和规划局</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地址：福州市仓山区南江滨西大道193号东部办公区4号楼5至8楼</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联系方法：15659978630</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13、代理机构：福建优胜招标代理有限公司</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地址：福州市鼓楼区洪山镇福三路20号华润万象城（一区）（一期）S2#楼4层01-03、05-12、15-18办公</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联系方法：0591-87679372/87679352</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附1：账户信息</w:t>
      </w:r>
    </w:p>
    <w:tbl>
      <w:tblPr>
        <w:tblStyle w:val="10"/>
        <w:tblW w:w="9498" w:type="dxa"/>
        <w:tblInd w:w="-321"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49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福建优胜招标代理有限公司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49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Times New Roman" w:hAnsi="Times New Roman" w:eastAsia="宋体" w:cs="Times New Roman"/>
                <w:kern w:val="0"/>
                <w:sz w:val="24"/>
                <w:szCs w:val="24"/>
              </w:rPr>
              <w:t>***</w:t>
            </w:r>
            <w:r>
              <w:rPr>
                <w:rFonts w:ascii="宋体" w:hAnsi="宋体" w:eastAsia="宋体" w:cs="宋体"/>
                <w:kern w:val="0"/>
                <w:sz w:val="24"/>
                <w:szCs w:val="24"/>
              </w:rPr>
              <w:t>、合同包：</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附2：采购标的一览表</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 w:val="24"/>
          <w:szCs w:val="24"/>
        </w:rPr>
        <w:t xml:space="preserve">金额单位：人民币元 </w:t>
      </w:r>
    </w:p>
    <w:tbl>
      <w:tblPr>
        <w:tblStyle w:val="10"/>
        <w:tblW w:w="9497" w:type="dxa"/>
        <w:tblInd w:w="-41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94"/>
        <w:gridCol w:w="851"/>
        <w:gridCol w:w="1702"/>
        <w:gridCol w:w="849"/>
        <w:gridCol w:w="708"/>
        <w:gridCol w:w="1789"/>
        <w:gridCol w:w="923"/>
        <w:gridCol w:w="168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合同包</w:t>
            </w:r>
          </w:p>
        </w:tc>
        <w:tc>
          <w:tcPr>
            <w:tcW w:w="85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品目号</w:t>
            </w:r>
          </w:p>
        </w:tc>
        <w:tc>
          <w:tcPr>
            <w:tcW w:w="17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采购标的</w:t>
            </w:r>
          </w:p>
        </w:tc>
        <w:tc>
          <w:tcPr>
            <w:tcW w:w="84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允许进口</w:t>
            </w:r>
          </w:p>
        </w:tc>
        <w:tc>
          <w:tcPr>
            <w:tcW w:w="7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数量</w:t>
            </w:r>
          </w:p>
        </w:tc>
        <w:tc>
          <w:tcPr>
            <w:tcW w:w="17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品目号预算</w:t>
            </w:r>
          </w:p>
        </w:tc>
        <w:tc>
          <w:tcPr>
            <w:tcW w:w="9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合同包预算</w:t>
            </w:r>
          </w:p>
        </w:tc>
        <w:tc>
          <w:tcPr>
            <w:tcW w:w="168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w:t>
            </w:r>
          </w:p>
        </w:tc>
        <w:tc>
          <w:tcPr>
            <w:tcW w:w="5899"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0"/>
              <w:tblW w:w="5868"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798"/>
              <w:gridCol w:w="1777"/>
              <w:gridCol w:w="799"/>
              <w:gridCol w:w="799"/>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1-1</w:t>
                  </w:r>
                </w:p>
              </w:tc>
              <w:tc>
                <w:tcPr>
                  <w:tcW w:w="17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城市规划和设计服务</w:t>
                  </w:r>
                </w:p>
              </w:tc>
              <w:tc>
                <w:tcPr>
                  <w:tcW w:w="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否</w:t>
                  </w:r>
                </w:p>
              </w:tc>
              <w:tc>
                <w:tcPr>
                  <w:tcW w:w="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1（项）</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00,000.0000</w:t>
                  </w:r>
                </w:p>
              </w:tc>
            </w:tr>
          </w:tbl>
          <w:p>
            <w:pPr>
              <w:widowControl/>
              <w:spacing w:line="360" w:lineRule="auto"/>
              <w:rPr>
                <w:rFonts w:ascii="宋体" w:hAnsi="宋体" w:eastAsia="宋体" w:cs="宋体"/>
                <w:kern w:val="0"/>
                <w:sz w:val="24"/>
                <w:szCs w:val="24"/>
              </w:rPr>
            </w:pPr>
          </w:p>
        </w:tc>
        <w:tc>
          <w:tcPr>
            <w:tcW w:w="9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2200000</w:t>
            </w:r>
          </w:p>
        </w:tc>
        <w:tc>
          <w:tcPr>
            <w:tcW w:w="168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44000</w:t>
            </w:r>
          </w:p>
        </w:tc>
      </w:tr>
    </w:tbl>
    <w:p>
      <w:pPr>
        <w:widowControl/>
        <w:spacing w:before="75" w:after="75" w:line="360" w:lineRule="auto"/>
        <w:jc w:val="center"/>
        <w:rPr>
          <w:rFonts w:hint="eastAsia" w:ascii="宋体" w:hAnsi="宋体" w:eastAsia="宋体" w:cs="宋体"/>
          <w:b/>
          <w:bCs/>
          <w:kern w:val="0"/>
          <w:sz w:val="32"/>
        </w:rPr>
      </w:pPr>
    </w:p>
    <w:p>
      <w:pPr>
        <w:widowControl/>
        <w:jc w:val="center"/>
        <w:rPr>
          <w:rFonts w:ascii="宋体" w:hAnsi="宋体" w:eastAsia="宋体" w:cs="宋体"/>
          <w:kern w:val="0"/>
          <w:sz w:val="24"/>
          <w:szCs w:val="24"/>
        </w:rPr>
      </w:pPr>
      <w:r>
        <w:rPr>
          <w:rFonts w:hint="eastAsia" w:ascii="宋体" w:hAnsi="宋体" w:eastAsia="宋体" w:cs="宋体"/>
          <w:b/>
          <w:bCs/>
          <w:kern w:val="0"/>
          <w:sz w:val="32"/>
        </w:rPr>
        <w:br w:type="page"/>
      </w:r>
      <w:r>
        <w:rPr>
          <w:rFonts w:ascii="宋体" w:hAnsi="宋体" w:eastAsia="宋体" w:cs="宋体"/>
          <w:b/>
          <w:bCs/>
          <w:kern w:val="0"/>
          <w:sz w:val="32"/>
        </w:rPr>
        <w:t>第二章   投标人须知前附表（表1、</w:t>
      </w:r>
      <w:r>
        <w:rPr>
          <w:rFonts w:ascii="Times New Roman" w:hAnsi="Times New Roman" w:eastAsia="宋体" w:cs="Times New Roman"/>
          <w:b/>
          <w:bCs/>
          <w:kern w:val="0"/>
          <w:sz w:val="32"/>
        </w:rPr>
        <w:t>2</w:t>
      </w:r>
      <w:r>
        <w:rPr>
          <w:rFonts w:ascii="宋体" w:hAnsi="宋体" w:eastAsia="宋体" w:cs="宋体"/>
          <w:b/>
          <w:bCs/>
          <w:kern w:val="0"/>
          <w:sz w:val="32"/>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表1</w:t>
      </w:r>
    </w:p>
    <w:tbl>
      <w:tblPr>
        <w:tblStyle w:val="10"/>
        <w:tblW w:w="9073" w:type="dxa"/>
        <w:tblInd w:w="-321"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101"/>
        <w:gridCol w:w="1440"/>
        <w:gridCol w:w="653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07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项号</w:t>
            </w:r>
          </w:p>
        </w:tc>
        <w:tc>
          <w:tcPr>
            <w:tcW w:w="14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招标文件</w:t>
            </w:r>
          </w:p>
          <w:p>
            <w:pPr>
              <w:widowControl/>
              <w:spacing w:line="360" w:lineRule="auto"/>
              <w:rPr>
                <w:rFonts w:ascii="宋体" w:hAnsi="宋体" w:eastAsia="宋体" w:cs="宋体"/>
                <w:kern w:val="0"/>
                <w:sz w:val="24"/>
                <w:szCs w:val="24"/>
              </w:rPr>
            </w:pPr>
            <w:r>
              <w:rPr>
                <w:rFonts w:ascii="宋体" w:hAnsi="宋体" w:eastAsia="宋体" w:cs="宋体"/>
                <w:kern w:val="0"/>
                <w:sz w:val="24"/>
                <w:szCs w:val="24"/>
              </w:rPr>
              <w:t>（第三章）</w:t>
            </w:r>
          </w:p>
        </w:tc>
        <w:tc>
          <w:tcPr>
            <w:tcW w:w="653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6.1</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2</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10.4</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Times New Roman" w:hAnsi="Times New Roman"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3</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10.5-（</w:t>
            </w:r>
            <w:r>
              <w:rPr>
                <w:rFonts w:ascii="Times New Roman" w:hAnsi="Times New Roman" w:eastAsia="宋体" w:cs="Times New Roman"/>
                <w:kern w:val="0"/>
                <w:sz w:val="24"/>
                <w:szCs w:val="24"/>
              </w:rPr>
              <w:t>2</w:t>
            </w:r>
            <w:r>
              <w:rPr>
                <w:rFonts w:ascii="宋体" w:hAnsi="宋体" w:eastAsia="宋体" w:cs="宋体"/>
                <w:kern w:val="0"/>
                <w:sz w:val="24"/>
                <w:szCs w:val="24"/>
              </w:rPr>
              <w:t>）</w:t>
            </w:r>
            <w:r>
              <w:rPr>
                <w:rFonts w:ascii="Times New Roman" w:hAnsi="Times New Roman" w:eastAsia="宋体" w:cs="Times New Roman"/>
                <w:kern w:val="0"/>
                <w:sz w:val="24"/>
                <w:szCs w:val="24"/>
              </w:rPr>
              <w:t>-</w:t>
            </w:r>
            <w:r>
              <w:rPr>
                <w:rFonts w:ascii="宋体" w:hAnsi="宋体" w:eastAsia="宋体" w:cs="宋体"/>
                <w:kern w:val="0"/>
                <w:sz w:val="24"/>
                <w:szCs w:val="24"/>
              </w:rPr>
              <w:t>③</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4</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5</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宋体"/>
                <w:kern w:val="0"/>
                <w:sz w:val="24"/>
                <w:szCs w:val="24"/>
              </w:rPr>
              <w:t>1</w:t>
            </w:r>
            <w:r>
              <w:rPr>
                <w:rFonts w:ascii="宋体" w:hAnsi="宋体" w:eastAsia="宋体" w:cs="宋体"/>
                <w:kern w:val="0"/>
                <w:sz w:val="24"/>
                <w:szCs w:val="24"/>
              </w:rPr>
              <w:t>）</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6</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10.10-（</w:t>
            </w:r>
            <w:r>
              <w:rPr>
                <w:rFonts w:ascii="Calibri" w:hAnsi="Calibri" w:eastAsia="宋体" w:cs="宋体"/>
                <w:kern w:val="0"/>
                <w:sz w:val="24"/>
                <w:szCs w:val="24"/>
              </w:rPr>
              <w:t>2</w:t>
            </w:r>
            <w:r>
              <w:rPr>
                <w:rFonts w:ascii="宋体" w:hAnsi="宋体" w:eastAsia="宋体" w:cs="宋体"/>
                <w:kern w:val="0"/>
                <w:sz w:val="24"/>
                <w:szCs w:val="24"/>
              </w:rPr>
              <w:t>）</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不承担责任。</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（3）其他：无。</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7</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12.1</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本项目推荐合同包1中标候选人数为4家。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8</w:t>
            </w:r>
          </w:p>
        </w:tc>
        <w:tc>
          <w:tcPr>
            <w:tcW w:w="14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12.2</w:t>
            </w:r>
          </w:p>
        </w:tc>
        <w:tc>
          <w:tcPr>
            <w:tcW w:w="6532"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①招标文件规定的方式：符合资格要求和技术商务符合性要求且投标报价前四名作为入围供应商。最低报价相同的情况下，按资格标准高低、商务服务优劣、技术指标响应情况顺序择优确定。。</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①本项目确定合同包1中标人数为4家；</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9</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10</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15.4</w:t>
            </w:r>
          </w:p>
          <w:p>
            <w:pPr>
              <w:widowControl/>
              <w:spacing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line="360" w:lineRule="auto"/>
              <w:rPr>
                <w:rFonts w:ascii="宋体" w:hAnsi="宋体" w:eastAsia="宋体" w:cs="宋体"/>
                <w:kern w:val="0"/>
                <w:sz w:val="24"/>
                <w:szCs w:val="24"/>
              </w:rPr>
            </w:pPr>
            <w:r>
              <w:rPr>
                <w:rFonts w:ascii="Calibri" w:hAnsi="Calibri" w:eastAsia="宋体" w:cs="宋体"/>
                <w:kern w:val="0"/>
                <w:sz w:val="24"/>
                <w:szCs w:val="24"/>
              </w:rPr>
              <w:t> </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提出，招标文件公告期限、首次下载之日均以福建省政府采购网上公开信息系统记载的为准。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11</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16.1</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福州采购办</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12</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18.1</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（2）中国政府采购网福建分网（福建省政府采购网），网址zfcg.czt.fujian.gov.cn。</w:t>
            </w:r>
          </w:p>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Times New Roman" w:hAnsi="Times New Roman"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13</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19</w:t>
            </w:r>
          </w:p>
        </w:tc>
        <w:tc>
          <w:tcPr>
            <w:tcW w:w="65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(2)其他：招标代理服务费收费标准参照中华人民共和国国家计划委员会（计价格[2002]1980号）文件规定向中标人收取，服务费按差额定率累进法计算。招标代理服务费在中标人领取中标通知书前一次性缴清。 收取方式：转账等方式。 开 户 名：福建优胜招标代理有限公司 开 户 行：兴业银行福州华林支行 账 号：11713 01001 000 37952 </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2541"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备注</w:t>
            </w:r>
          </w:p>
        </w:tc>
        <w:tc>
          <w:tcPr>
            <w:tcW w:w="6532"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表2</w:t>
      </w:r>
    </w:p>
    <w:tbl>
      <w:tblPr>
        <w:tblStyle w:val="10"/>
        <w:tblW w:w="9073" w:type="dxa"/>
        <w:tblInd w:w="-321"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793"/>
        <w:gridCol w:w="828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073"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9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序号</w:t>
            </w:r>
          </w:p>
        </w:tc>
        <w:tc>
          <w:tcPr>
            <w:tcW w:w="82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9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w:t>
            </w:r>
          </w:p>
        </w:tc>
        <w:tc>
          <w:tcPr>
            <w:tcW w:w="8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Calibri" w:hAnsi="Calibri" w:eastAsia="宋体" w:cs="宋体"/>
                <w:kern w:val="0"/>
                <w:sz w:val="24"/>
                <w:szCs w:val="24"/>
              </w:rPr>
              <w:t>2</w:t>
            </w:r>
            <w:r>
              <w:rPr>
                <w:rFonts w:ascii="宋体" w:hAnsi="宋体" w:eastAsia="宋体" w:cs="宋体"/>
                <w:kern w:val="0"/>
                <w:sz w:val="24"/>
                <w:szCs w:val="24"/>
              </w:rPr>
              <w:t>）、（</w:t>
            </w:r>
            <w:r>
              <w:rPr>
                <w:rFonts w:ascii="Calibri" w:hAnsi="Calibri" w:eastAsia="宋体" w:cs="宋体"/>
                <w:kern w:val="0"/>
                <w:sz w:val="24"/>
                <w:szCs w:val="24"/>
              </w:rPr>
              <w:t>3</w:t>
            </w:r>
            <w:r>
              <w:rPr>
                <w:rFonts w:ascii="宋体" w:hAnsi="宋体" w:eastAsia="宋体" w:cs="宋体"/>
                <w:kern w:val="0"/>
                <w:sz w:val="24"/>
                <w:szCs w:val="24"/>
              </w:rPr>
              <w:t>）款所述内容外的其他内容及规定适用本项目的电子招标投标活动。</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无。</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无。</w:t>
            </w:r>
            <w:r>
              <w:rPr>
                <w:rFonts w:ascii="宋体" w:hAnsi="宋体" w:eastAsia="宋体" w:cs="宋体"/>
                <w:kern w:val="0"/>
                <w:sz w:val="24"/>
                <w:szCs w:val="24"/>
              </w:rPr>
              <w:t>后适用本项目的电子招标投标活动。</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4"/>
                <w:szCs w:val="24"/>
              </w:rPr>
              <w:t>投标无效。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宋体"/>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宋体"/>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宋体"/>
                <w:kern w:val="0"/>
                <w:sz w:val="24"/>
                <w:szCs w:val="24"/>
              </w:rPr>
              <w:t>CA</w:t>
            </w:r>
            <w:r>
              <w:rPr>
                <w:rFonts w:ascii="宋体" w:hAnsi="宋体" w:eastAsia="宋体" w:cs="宋体"/>
                <w:kern w:val="0"/>
                <w:sz w:val="24"/>
                <w:szCs w:val="24"/>
              </w:rPr>
              <w:t>证书：</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宋体"/>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Calibri" w:hAnsi="Calibri" w:eastAsia="宋体" w:cs="宋体"/>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宋体"/>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宋体"/>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宋体"/>
                <w:kern w:val="0"/>
                <w:sz w:val="24"/>
                <w:szCs w:val="24"/>
              </w:rPr>
              <w:t>CA</w:t>
            </w:r>
            <w:r>
              <w:rPr>
                <w:rFonts w:ascii="宋体" w:hAnsi="宋体" w:eastAsia="宋体" w:cs="宋体"/>
                <w:kern w:val="0"/>
                <w:sz w:val="24"/>
                <w:szCs w:val="24"/>
              </w:rPr>
              <w:t>证书应能正常、有效使用，否则产生不利后果由投标人承担责任。</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b.有下列情形之一的，其</w:t>
            </w:r>
            <w:r>
              <w:rPr>
                <w:rFonts w:ascii="宋体" w:hAnsi="宋体" w:eastAsia="宋体" w:cs="宋体"/>
                <w:b/>
                <w:bCs/>
                <w:kern w:val="0"/>
                <w:sz w:val="24"/>
                <w:szCs w:val="24"/>
              </w:rPr>
              <w:t>投标无效</w:t>
            </w:r>
            <w:r>
              <w:rPr>
                <w:rFonts w:ascii="宋体" w:hAnsi="宋体" w:eastAsia="宋体" w:cs="宋体"/>
                <w:kern w:val="0"/>
                <w:sz w:val="24"/>
                <w:szCs w:val="24"/>
              </w:rPr>
              <w:t>,其保证金不予退还：</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⑧其他：无。。</w:t>
            </w:r>
          </w:p>
        </w:tc>
      </w:tr>
    </w:tbl>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hint="eastAsia" w:ascii="宋体" w:hAnsi="宋体" w:eastAsia="宋体" w:cs="宋体"/>
          <w:b/>
          <w:bCs/>
          <w:kern w:val="0"/>
          <w:sz w:val="32"/>
        </w:rPr>
      </w:pPr>
      <w:r>
        <w:rPr>
          <w:rFonts w:hint="eastAsia" w:ascii="宋体" w:hAnsi="宋体" w:eastAsia="宋体" w:cs="宋体"/>
          <w:b/>
          <w:bCs/>
          <w:kern w:val="0"/>
          <w:sz w:val="32"/>
        </w:rPr>
        <w:br w:type="page"/>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第三章   投标人须知</w:t>
      </w:r>
    </w:p>
    <w:p>
      <w:pPr>
        <w:widowControl/>
        <w:spacing w:before="75" w:after="75" w:line="360" w:lineRule="auto"/>
        <w:jc w:val="center"/>
        <w:rPr>
          <w:rFonts w:hint="eastAsia" w:ascii="宋体" w:hAnsi="宋体" w:eastAsia="宋体" w:cs="宋体"/>
          <w:kern w:val="0"/>
          <w:sz w:val="24"/>
          <w:szCs w:val="24"/>
        </w:rPr>
      </w:pP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Calibri" w:hAnsi="Calibri" w:eastAsia="宋体" w:cs="宋体"/>
          <w:kern w:val="0"/>
          <w:sz w:val="24"/>
          <w:szCs w:val="24"/>
        </w:rPr>
        <w:t>7</w:t>
      </w:r>
      <w:r>
        <w:rPr>
          <w:rFonts w:ascii="宋体" w:hAnsi="宋体" w:eastAsia="宋体" w:cs="宋体"/>
          <w:kern w:val="0"/>
          <w:sz w:val="24"/>
          <w:szCs w:val="24"/>
        </w:rPr>
        <w:t>条规定进行报名且有意向参加本项目投标的供应商。</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Calibri" w:hAnsi="Calibri" w:eastAsia="宋体" w:cs="宋体"/>
          <w:kern w:val="0"/>
          <w:sz w:val="24"/>
          <w:szCs w:val="24"/>
        </w:rPr>
        <w:t>7</w:t>
      </w:r>
      <w:r>
        <w:rPr>
          <w:rFonts w:ascii="宋体" w:hAnsi="宋体" w:eastAsia="宋体" w:cs="宋体"/>
          <w:kern w:val="0"/>
          <w:sz w:val="24"/>
          <w:szCs w:val="24"/>
        </w:rPr>
        <w:t>条规定进行报名并参加本项目投标的供应商。</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Calibri" w:hAnsi="Calibri" w:eastAsia="宋体" w:cs="宋体"/>
          <w:kern w:val="0"/>
          <w:sz w:val="24"/>
          <w:szCs w:val="24"/>
        </w:rPr>
        <w:t>5.2</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宋体"/>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通知所有潜在投标人的书面形式。</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8.1若出现因重大变故导致采购任务取消情形，福建优胜招标代理有限公司可终止招标并发布终止公告。</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8.2终止公告作为福建优胜招标代理有限公司通知所有潜在投标人的书面形式。</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9.1投标人可对招标文件载明的全部或部分合同包进行投标。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9.2投标人应对同一个合同包内的所有内容进行完整投标，否则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Calibri" w:hAnsi="Calibri" w:eastAsia="宋体" w:cs="宋体"/>
          <w:kern w:val="0"/>
          <w:sz w:val="24"/>
          <w:szCs w:val="24"/>
        </w:rPr>
        <w:t>10.2</w:t>
      </w:r>
      <w:r>
        <w:rPr>
          <w:rFonts w:ascii="宋体" w:hAnsi="宋体" w:eastAsia="宋体" w:cs="宋体"/>
          <w:kern w:val="0"/>
          <w:sz w:val="24"/>
          <w:szCs w:val="24"/>
        </w:rPr>
        <w:t>条规定编制其组成部分。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（2）除招标文件另有规定外，投标文件的正本和全部副本均应使用不能擦去的墨料或墨水打印、书写或复印，其中：</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正本应用</w:t>
      </w:r>
      <w:r>
        <w:rPr>
          <w:rFonts w:ascii="Calibri" w:hAnsi="Calibri" w:eastAsia="宋体" w:cs="宋体"/>
          <w:kern w:val="0"/>
          <w:sz w:val="24"/>
          <w:szCs w:val="24"/>
        </w:rPr>
        <w:t>A4</w:t>
      </w:r>
      <w:r>
        <w:rPr>
          <w:rFonts w:ascii="宋体" w:hAnsi="宋体" w:eastAsia="宋体" w:cs="宋体"/>
          <w:kern w:val="0"/>
          <w:sz w:val="24"/>
          <w:szCs w:val="24"/>
        </w:rPr>
        <w:t>幅面纸张打印装订，编制封面（封面标明“正本”字样）、索引、页码，并用胶装装订成册。</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副本应用</w:t>
      </w:r>
      <w:r>
        <w:rPr>
          <w:rFonts w:ascii="Calibri" w:hAnsi="Calibri" w:eastAsia="宋体" w:cs="宋体"/>
          <w:kern w:val="0"/>
          <w:sz w:val="24"/>
          <w:szCs w:val="24"/>
        </w:rPr>
        <w:t>A4</w:t>
      </w:r>
      <w:r>
        <w:rPr>
          <w:rFonts w:ascii="宋体" w:hAnsi="宋体" w:eastAsia="宋体" w:cs="宋体"/>
          <w:kern w:val="0"/>
          <w:sz w:val="24"/>
          <w:szCs w:val="24"/>
        </w:rPr>
        <w:t>幅面纸张打印装订，编制封面（封面标明“副本”字样）、索引、页码，并用胶装装订成册；副本可用正本的完整复印件，并与正本保持一致（若不一致，以正本为准）。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允许散装或活页装订的内容或材料：详见招标文件第二章。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除本章第</w:t>
      </w:r>
      <w:r>
        <w:rPr>
          <w:rFonts w:ascii="Calibri" w:hAnsi="Calibri" w:eastAsia="宋体" w:cs="宋体"/>
          <w:b/>
          <w:bCs/>
          <w:kern w:val="0"/>
          <w:sz w:val="24"/>
          <w:szCs w:val="24"/>
        </w:rPr>
        <w:t>10.5</w:t>
      </w:r>
      <w:r>
        <w:rPr>
          <w:rFonts w:ascii="宋体" w:hAnsi="宋体" w:eastAsia="宋体" w:cs="宋体"/>
          <w:b/>
          <w:bCs/>
          <w:kern w:val="0"/>
          <w:sz w:val="24"/>
          <w:szCs w:val="24"/>
        </w:rPr>
        <w:t>条第（</w:t>
      </w:r>
      <w:r>
        <w:rPr>
          <w:rFonts w:ascii="Calibri" w:hAnsi="Calibri" w:eastAsia="宋体" w:cs="宋体"/>
          <w:b/>
          <w:bCs/>
          <w:kern w:val="0"/>
          <w:sz w:val="24"/>
          <w:szCs w:val="24"/>
        </w:rPr>
        <w:t>2</w:t>
      </w:r>
      <w:r>
        <w:rPr>
          <w:rFonts w:ascii="宋体" w:hAnsi="宋体" w:eastAsia="宋体" w:cs="宋体"/>
          <w:b/>
          <w:bCs/>
          <w:kern w:val="0"/>
          <w:sz w:val="24"/>
          <w:szCs w:val="24"/>
        </w:rPr>
        <w:t>）款第</w:t>
      </w:r>
      <w:r>
        <w:rPr>
          <w:rFonts w:hint="eastAsia" w:ascii="宋体" w:hAnsi="宋体" w:eastAsia="宋体" w:cs="宋体"/>
          <w:b/>
          <w:bCs/>
          <w:kern w:val="0"/>
          <w:sz w:val="24"/>
          <w:szCs w:val="24"/>
        </w:rPr>
        <w:t>③</w:t>
      </w:r>
      <w:r>
        <w:rPr>
          <w:rFonts w:ascii="宋体" w:hAnsi="宋体" w:eastAsia="宋体" w:cs="宋体"/>
          <w:b/>
          <w:bCs/>
          <w:kern w:val="0"/>
          <w:sz w:val="24"/>
          <w:szCs w:val="24"/>
        </w:rPr>
        <w:t>点规定情形外，投标文件散装或活页装订将导致投标无效。</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投标文件应由投标人代表签字并加盖投标人的单位公章。若投标人代表为单位负责人授权的委托代理人，应提供“单位负责人授权书”。</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Calibri" w:hAnsi="Calibri" w:eastAsia="宋体" w:cs="宋体"/>
          <w:kern w:val="0"/>
          <w:sz w:val="24"/>
          <w:szCs w:val="24"/>
        </w:rPr>
        <w:t>10.9</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收到投标人书面撤回通知之日起5个工作日内退回原账户。</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Calibri" w:hAnsi="Calibri" w:eastAsia="宋体" w:cs="宋体"/>
          <w:kern w:val="0"/>
          <w:sz w:val="24"/>
          <w:szCs w:val="24"/>
        </w:rPr>
        <w:t>5</w:t>
      </w:r>
      <w:r>
        <w:rPr>
          <w:rFonts w:ascii="宋体" w:hAnsi="宋体" w:eastAsia="宋体" w:cs="宋体"/>
          <w:kern w:val="0"/>
          <w:sz w:val="24"/>
          <w:szCs w:val="24"/>
        </w:rPr>
        <w:t>个工作日内退回原账户。</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Calibri" w:hAnsi="Calibri" w:eastAsia="宋体" w:cs="宋体"/>
          <w:kern w:val="0"/>
          <w:sz w:val="24"/>
          <w:szCs w:val="24"/>
        </w:rPr>
        <w:t>5</w:t>
      </w:r>
      <w:r>
        <w:rPr>
          <w:rFonts w:ascii="宋体" w:hAnsi="宋体" w:eastAsia="宋体" w:cs="宋体"/>
          <w:kern w:val="0"/>
          <w:sz w:val="24"/>
          <w:szCs w:val="24"/>
        </w:rPr>
        <w:t>个工作日内退回原账户；合同签订之日按照下列方式认定：</w:t>
      </w:r>
      <w:r>
        <w:rPr>
          <w:rFonts w:ascii="宋体" w:hAnsi="宋体" w:eastAsia="宋体" w:cs="宋体"/>
          <w:b/>
          <w:bCs/>
          <w:kern w:val="0"/>
          <w:sz w:val="24"/>
          <w:szCs w:val="24"/>
        </w:rPr>
        <w:t>以福建省政府采购网上公开信息系统记载的为准。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Calibri" w:hAnsi="Calibri" w:eastAsia="宋体" w:cs="宋体"/>
          <w:b/>
          <w:bCs/>
          <w:kern w:val="0"/>
          <w:sz w:val="24"/>
          <w:szCs w:val="24"/>
        </w:rPr>
        <w:t>10.9</w:t>
      </w:r>
      <w:r>
        <w:rPr>
          <w:rFonts w:ascii="宋体" w:hAnsi="宋体" w:eastAsia="宋体" w:cs="宋体"/>
          <w:b/>
          <w:bCs/>
          <w:kern w:val="0"/>
          <w:sz w:val="24"/>
          <w:szCs w:val="24"/>
        </w:rPr>
        <w:t>条第（</w:t>
      </w:r>
      <w:r>
        <w:rPr>
          <w:rFonts w:ascii="Calibri" w:hAnsi="Calibri" w:eastAsia="宋体" w:cs="宋体"/>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Calibri" w:hAnsi="Calibri" w:eastAsia="宋体" w:cs="宋体"/>
          <w:kern w:val="0"/>
          <w:sz w:val="24"/>
          <w:szCs w:val="24"/>
        </w:rPr>
        <w:t>10.8</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投标人不接受评标委员会按照招标文件规定对投标报价错误之处进行修正；</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投标人违反招标文件第三章第</w:t>
      </w:r>
      <w:r>
        <w:rPr>
          <w:rFonts w:ascii="Calibri" w:hAnsi="Calibri" w:eastAsia="宋体" w:cs="宋体"/>
          <w:kern w:val="0"/>
          <w:sz w:val="24"/>
          <w:szCs w:val="24"/>
        </w:rPr>
        <w:t>9.4</w:t>
      </w:r>
      <w:r>
        <w:rPr>
          <w:rFonts w:ascii="宋体" w:hAnsi="宋体" w:eastAsia="宋体" w:cs="宋体"/>
          <w:kern w:val="0"/>
          <w:sz w:val="24"/>
          <w:szCs w:val="24"/>
        </w:rPr>
        <w:t>、</w:t>
      </w:r>
      <w:r>
        <w:rPr>
          <w:rFonts w:ascii="Calibri" w:hAnsi="Calibri" w:eastAsia="宋体" w:cs="宋体"/>
          <w:kern w:val="0"/>
          <w:sz w:val="24"/>
          <w:szCs w:val="24"/>
        </w:rPr>
        <w:t>9.5</w:t>
      </w:r>
      <w:r>
        <w:rPr>
          <w:rFonts w:ascii="宋体" w:hAnsi="宋体" w:eastAsia="宋体" w:cs="宋体"/>
          <w:kern w:val="0"/>
          <w:sz w:val="24"/>
          <w:szCs w:val="24"/>
        </w:rPr>
        <w:t>、</w:t>
      </w:r>
      <w:r>
        <w:rPr>
          <w:rFonts w:ascii="Calibri" w:hAnsi="Calibri" w:eastAsia="宋体" w:cs="宋体"/>
          <w:kern w:val="0"/>
          <w:sz w:val="24"/>
          <w:szCs w:val="24"/>
        </w:rPr>
        <w:t>9.6</w:t>
      </w:r>
      <w:r>
        <w:rPr>
          <w:rFonts w:ascii="宋体" w:hAnsi="宋体" w:eastAsia="宋体" w:cs="宋体"/>
          <w:kern w:val="0"/>
          <w:sz w:val="24"/>
          <w:szCs w:val="24"/>
        </w:rPr>
        <w:t>条规定之一；</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⑦</w:t>
      </w:r>
      <w:r>
        <w:rPr>
          <w:rFonts w:ascii="宋体" w:hAnsi="宋体" w:eastAsia="宋体" w:cs="宋体"/>
          <w:kern w:val="0"/>
          <w:sz w:val="24"/>
          <w:szCs w:val="24"/>
        </w:rPr>
        <w:t>招标文件规定的其他不予退还情形；</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⑧</w:t>
      </w:r>
      <w:r>
        <w:rPr>
          <w:rFonts w:ascii="宋体" w:hAnsi="宋体" w:eastAsia="宋体" w:cs="宋体"/>
          <w:kern w:val="0"/>
          <w:sz w:val="24"/>
          <w:szCs w:val="24"/>
        </w:rPr>
        <w:t>中标人有下列情形之一的：</w:t>
      </w:r>
    </w:p>
    <w:p>
      <w:pPr>
        <w:widowControl/>
        <w:spacing w:before="75" w:after="75" w:line="360" w:lineRule="auto"/>
        <w:ind w:firstLine="480"/>
        <w:jc w:val="left"/>
        <w:rPr>
          <w:rFonts w:ascii="宋体" w:hAnsi="宋体" w:eastAsia="宋体" w:cs="宋体"/>
          <w:kern w:val="0"/>
          <w:sz w:val="24"/>
          <w:szCs w:val="24"/>
        </w:rPr>
      </w:pPr>
      <w:r>
        <w:rPr>
          <w:rFonts w:ascii="Calibri" w:hAnsi="Calibri" w:eastAsia="宋体" w:cs="宋体"/>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（2）密封及其标记的具体形式：详见招标文件第二章。</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Calibri" w:hAnsi="Calibri" w:eastAsia="宋体" w:cs="宋体"/>
          <w:kern w:val="0"/>
          <w:sz w:val="24"/>
          <w:szCs w:val="24"/>
        </w:rPr>
        <w:t>10.5</w:t>
      </w:r>
      <w:r>
        <w:rPr>
          <w:rFonts w:ascii="宋体" w:hAnsi="宋体" w:eastAsia="宋体" w:cs="宋体"/>
          <w:kern w:val="0"/>
          <w:sz w:val="24"/>
          <w:szCs w:val="24"/>
        </w:rPr>
        <w:t>条第（</w:t>
      </w:r>
      <w:r>
        <w:rPr>
          <w:rFonts w:ascii="Calibri" w:hAnsi="Calibri" w:eastAsia="宋体" w:cs="宋体"/>
          <w:kern w:val="0"/>
          <w:sz w:val="24"/>
          <w:szCs w:val="24"/>
        </w:rPr>
        <w:t>4</w:t>
      </w:r>
      <w:r>
        <w:rPr>
          <w:rFonts w:ascii="宋体" w:hAnsi="宋体" w:eastAsia="宋体" w:cs="宋体"/>
          <w:kern w:val="0"/>
          <w:sz w:val="24"/>
          <w:szCs w:val="24"/>
        </w:rPr>
        <w:t>）款规定进行签署、盖章，并按照本章第</w:t>
      </w:r>
      <w:r>
        <w:rPr>
          <w:rFonts w:ascii="Calibri" w:hAnsi="Calibri" w:eastAsia="宋体" w:cs="宋体"/>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五、开标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派出，现场监督人员（若有）可由有关方面派出。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11.3参加开标会的投标人应签到，非投标人不参加开标会。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Calibri" w:hAnsi="Calibri" w:eastAsia="宋体" w:cs="宋体"/>
          <w:b/>
          <w:bCs/>
          <w:kern w:val="0"/>
          <w:sz w:val="24"/>
          <w:szCs w:val="24"/>
        </w:rPr>
        <w:t>11.4</w:t>
      </w:r>
      <w:r>
        <w:rPr>
          <w:rFonts w:ascii="宋体" w:hAnsi="宋体" w:eastAsia="宋体" w:cs="宋体"/>
          <w:b/>
          <w:bCs/>
          <w:kern w:val="0"/>
          <w:sz w:val="24"/>
          <w:szCs w:val="24"/>
        </w:rPr>
        <w:t>条第（</w:t>
      </w:r>
      <w:r>
        <w:rPr>
          <w:rFonts w:ascii="Calibri" w:hAnsi="Calibri" w:eastAsia="宋体" w:cs="宋体"/>
          <w:b/>
          <w:bCs/>
          <w:kern w:val="0"/>
          <w:sz w:val="24"/>
          <w:szCs w:val="24"/>
        </w:rPr>
        <w:t>4</w:t>
      </w:r>
      <w:r>
        <w:rPr>
          <w:rFonts w:ascii="宋体" w:hAnsi="宋体" w:eastAsia="宋体" w:cs="宋体"/>
          <w:b/>
          <w:bCs/>
          <w:kern w:val="0"/>
          <w:sz w:val="24"/>
          <w:szCs w:val="24"/>
        </w:rPr>
        <w:t>）、（</w:t>
      </w:r>
      <w:r>
        <w:rPr>
          <w:rFonts w:ascii="Calibri" w:hAnsi="Calibri" w:eastAsia="宋体" w:cs="宋体"/>
          <w:b/>
          <w:bCs/>
          <w:kern w:val="0"/>
          <w:sz w:val="24"/>
          <w:szCs w:val="24"/>
        </w:rPr>
        <w:t>5</w:t>
      </w:r>
      <w:r>
        <w:rPr>
          <w:rFonts w:ascii="宋体" w:hAnsi="宋体" w:eastAsia="宋体" w:cs="宋体"/>
          <w:b/>
          <w:bCs/>
          <w:kern w:val="0"/>
          <w:sz w:val="24"/>
          <w:szCs w:val="24"/>
        </w:rPr>
        <w:t>）、（</w:t>
      </w:r>
      <w:r>
        <w:rPr>
          <w:rFonts w:ascii="Calibri" w:hAnsi="Calibri" w:eastAsia="宋体" w:cs="宋体"/>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福建优胜招标代理有限公司</w:t>
      </w:r>
      <w:r>
        <w:rPr>
          <w:rFonts w:ascii="宋体" w:hAnsi="宋体" w:eastAsia="宋体" w:cs="宋体"/>
          <w:b/>
          <w:bCs/>
          <w:kern w:val="0"/>
          <w:sz w:val="24"/>
          <w:szCs w:val="24"/>
        </w:rPr>
        <w:t>提出任何疑义或要求（包括质疑）。</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六、中标与政府采购合同</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Calibri" w:hAnsi="Calibri" w:eastAsia="宋体" w:cs="宋体"/>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将在招标文件载明的指定媒体以中标公告的形式发布中标结果。</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Calibri" w:hAnsi="Calibri" w:eastAsia="宋体" w:cs="宋体"/>
          <w:kern w:val="0"/>
          <w:sz w:val="24"/>
          <w:szCs w:val="24"/>
        </w:rPr>
        <w:t>1</w:t>
      </w:r>
      <w:r>
        <w:rPr>
          <w:rFonts w:ascii="宋体" w:hAnsi="宋体" w:eastAsia="宋体" w:cs="宋体"/>
          <w:kern w:val="0"/>
          <w:sz w:val="24"/>
          <w:szCs w:val="24"/>
        </w:rPr>
        <w:t>个工作日。</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（3）中标公告同时作为</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通知除中标人外的其他投标人没有中标的书面形式。</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将向中标人发出中标通知书。</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w:t>
      </w:r>
      <w:r>
        <w:rPr>
          <w:rFonts w:ascii="Calibri" w:hAnsi="Calibri" w:eastAsia="宋体" w:cs="宋体"/>
          <w:kern w:val="0"/>
          <w:sz w:val="24"/>
          <w:szCs w:val="24"/>
        </w:rPr>
        <w:t>30</w:t>
      </w:r>
      <w:r>
        <w:rPr>
          <w:rFonts w:ascii="宋体" w:hAnsi="宋体" w:eastAsia="宋体" w:cs="宋体"/>
          <w:kern w:val="0"/>
          <w:sz w:val="24"/>
          <w:szCs w:val="24"/>
        </w:rPr>
        <w:t>个日历日内。</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13.3政府采购合同的履行、违约责任和解决争议的方法等适用合同法。</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宋体"/>
          <w:kern w:val="0"/>
          <w:sz w:val="24"/>
          <w:szCs w:val="24"/>
        </w:rPr>
        <w:t>10%</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14.1潜在投标人或投标人对本次采购活动的有关事项若有疑问，可向福建优胜招标代理有限公司提出询问，福建优胜招标代理有限公司将按照政府采购法及实施条例的有关规定进行答复。</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15.1针对同一采购程序环节的质疑应在政府采购法及实施条例规定的时限内一次性提出，并同时符合下列条件：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所质疑项目的基本信息，至少包括：招标编号、项目名称等；</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优胜招标代理有限公司对其质疑作出的处理结果，如：暂停招标投标活动、修改招标文件、停止或纠正违法违规行为、中标结果无效、废标、重新招标等；</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b1所质疑的具体事项是与自已有利害关系的证明材料；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b5采购文件、采购过程或中标、成交结果损害自已合法权益的证明材料等；</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Calibri" w:hAnsi="Calibri" w:eastAsia="宋体" w:cs="宋体"/>
          <w:kern w:val="0"/>
          <w:sz w:val="24"/>
          <w:szCs w:val="24"/>
        </w:rPr>
        <w:t>15.1</w:t>
      </w:r>
      <w:r>
        <w:rPr>
          <w:rFonts w:ascii="宋体" w:hAnsi="宋体" w:eastAsia="宋体" w:cs="宋体"/>
          <w:kern w:val="0"/>
          <w:sz w:val="24"/>
          <w:szCs w:val="24"/>
        </w:rPr>
        <w:t>条规定的质疑，将按照下列规定进行处理：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）条规定的，书面告知质疑人不予受理及其理由。</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Calibri" w:hAnsi="Calibri" w:eastAsia="宋体" w:cs="宋体"/>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Calibri" w:hAnsi="Calibri" w:eastAsia="宋体" w:cs="宋体"/>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宋体"/>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（3）对于同时列入节能清单和环保清单的产品，优先于只列入其中一个清单的产品。</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hAnsi="宋体" w:eastAsia="宋体" w:cs="宋体"/>
          <w:kern w:val="0"/>
          <w:sz w:val="24"/>
          <w:szCs w:val="24"/>
        </w:rPr>
        <w:br w:type="textWrapping"/>
      </w:r>
      <w:r>
        <w:rPr>
          <w:rFonts w:ascii="宋体" w:hAnsi="宋体" w:eastAsia="宋体" w:cs="宋体"/>
          <w:kern w:val="0"/>
          <w:sz w:val="24"/>
          <w:szCs w:val="24"/>
        </w:rPr>
        <w:t>   （5）未在节能清单、环保清单内的产品应提交国家确定的认证机构出具的、处于有效期之内的节能产品、环境标志产品认证证书。</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17.4符合财政部、工信部文件（财库</w:t>
      </w:r>
      <w:r>
        <w:rPr>
          <w:rFonts w:ascii="Calibri" w:hAnsi="Calibri" w:eastAsia="宋体" w:cs="宋体"/>
          <w:kern w:val="0"/>
          <w:sz w:val="24"/>
          <w:szCs w:val="24"/>
        </w:rPr>
        <w:t>[2011]181</w:t>
      </w:r>
      <w:r>
        <w:rPr>
          <w:rFonts w:ascii="宋体" w:hAnsi="宋体" w:eastAsia="宋体" w:cs="宋体"/>
          <w:kern w:val="0"/>
          <w:sz w:val="24"/>
          <w:szCs w:val="24"/>
        </w:rPr>
        <w:t>号）规定的</w:t>
      </w:r>
      <w:r>
        <w:rPr>
          <w:rFonts w:ascii="宋体" w:hAnsi="宋体" w:eastAsia="宋体" w:cs="宋体"/>
          <w:b/>
          <w:bCs/>
          <w:kern w:val="0"/>
          <w:sz w:val="24"/>
          <w:szCs w:val="24"/>
        </w:rPr>
        <w:t>小型、微型企业</w:t>
      </w:r>
      <w:r>
        <w:rPr>
          <w:rFonts w:ascii="宋体" w:hAnsi="宋体" w:eastAsia="宋体" w:cs="宋体"/>
          <w:kern w:val="0"/>
          <w:sz w:val="24"/>
          <w:szCs w:val="24"/>
        </w:rPr>
        <w:t>可享受扶持政策（如：预留份额、评审中价格扣除等）。符合财政部、司法部文件（财库[2014]68号）规定的监狱企业（以下简称：</w:t>
      </w:r>
      <w:r>
        <w:rPr>
          <w:rFonts w:ascii="宋体" w:hAnsi="宋体" w:eastAsia="宋体" w:cs="宋体"/>
          <w:b/>
          <w:bCs/>
          <w:kern w:val="0"/>
          <w:sz w:val="24"/>
          <w:szCs w:val="24"/>
        </w:rPr>
        <w:t>“监狱企业”</w:t>
      </w:r>
      <w:r>
        <w:rPr>
          <w:rFonts w:ascii="宋体" w:hAnsi="宋体" w:eastAsia="宋体" w:cs="宋体"/>
          <w:kern w:val="0"/>
          <w:sz w:val="24"/>
          <w:szCs w:val="24"/>
        </w:rPr>
        <w:t>）亦可享受前述扶持政策。符合财政部、民政部、中国残联文件（财库[2017]141号）规定的残疾人福利性单位（以下简称：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（1）中小企业指同时符合下列条件的中型、小型、微型企业：</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Calibri" w:hAnsi="Calibri" w:eastAsia="宋体" w:cs="宋体"/>
          <w:kern w:val="0"/>
          <w:sz w:val="24"/>
          <w:szCs w:val="24"/>
        </w:rPr>
        <w:t>[2011]300</w:t>
      </w:r>
      <w:r>
        <w:rPr>
          <w:rFonts w:ascii="宋体" w:hAnsi="宋体" w:eastAsia="宋体" w:cs="宋体"/>
          <w:kern w:val="0"/>
          <w:sz w:val="24"/>
          <w:szCs w:val="24"/>
        </w:rPr>
        <w:t>号）规定的划分标准；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240"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r>
        <w:rPr>
          <w:rFonts w:ascii="宋体" w:hAnsi="宋体" w:eastAsia="宋体" w:cs="宋体"/>
          <w:kern w:val="0"/>
          <w:sz w:val="24"/>
          <w:szCs w:val="24"/>
        </w:rPr>
        <w:br w:type="textWrapping"/>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（3）残疾人福利性单位指同时符合下列条件的单位：</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Calibri" w:hAnsi="Calibri" w:eastAsia="宋体" w:cs="宋体"/>
          <w:kern w:val="0"/>
          <w:sz w:val="24"/>
          <w:szCs w:val="24"/>
        </w:rPr>
        <w:t>25%</w:t>
      </w:r>
      <w:r>
        <w:rPr>
          <w:rFonts w:ascii="宋体" w:hAnsi="宋体" w:eastAsia="宋体" w:cs="宋体"/>
          <w:kern w:val="0"/>
          <w:sz w:val="24"/>
          <w:szCs w:val="24"/>
        </w:rPr>
        <w:t>（含</w:t>
      </w:r>
      <w:r>
        <w:rPr>
          <w:rFonts w:ascii="Calibri" w:hAnsi="Calibri" w:eastAsia="宋体" w:cs="宋体"/>
          <w:kern w:val="0"/>
          <w:sz w:val="24"/>
          <w:szCs w:val="24"/>
        </w:rPr>
        <w:t>25%</w:t>
      </w:r>
      <w:r>
        <w:rPr>
          <w:rFonts w:ascii="宋体" w:hAnsi="宋体" w:eastAsia="宋体" w:cs="宋体"/>
          <w:kern w:val="0"/>
          <w:sz w:val="24"/>
          <w:szCs w:val="24"/>
        </w:rPr>
        <w:t>），并且安置的残疾人人数不少于</w:t>
      </w:r>
      <w:r>
        <w:rPr>
          <w:rFonts w:ascii="Calibri" w:hAnsi="Calibri" w:eastAsia="宋体" w:cs="宋体"/>
          <w:kern w:val="0"/>
          <w:sz w:val="24"/>
          <w:szCs w:val="24"/>
        </w:rPr>
        <w:t>10</w:t>
      </w:r>
      <w:r>
        <w:rPr>
          <w:rFonts w:ascii="宋体" w:hAnsi="宋体" w:eastAsia="宋体" w:cs="宋体"/>
          <w:kern w:val="0"/>
          <w:sz w:val="24"/>
          <w:szCs w:val="24"/>
        </w:rPr>
        <w:t>人（含</w:t>
      </w:r>
      <w:r>
        <w:rPr>
          <w:rFonts w:ascii="Calibri" w:hAnsi="Calibri" w:eastAsia="宋体" w:cs="宋体"/>
          <w:kern w:val="0"/>
          <w:sz w:val="24"/>
          <w:szCs w:val="24"/>
        </w:rPr>
        <w:t>10</w:t>
      </w:r>
      <w:r>
        <w:rPr>
          <w:rFonts w:ascii="宋体" w:hAnsi="宋体" w:eastAsia="宋体" w:cs="宋体"/>
          <w:kern w:val="0"/>
          <w:sz w:val="24"/>
          <w:szCs w:val="24"/>
        </w:rPr>
        <w:t>人）；</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宋体"/>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宋体"/>
          <w:kern w:val="0"/>
          <w:sz w:val="24"/>
          <w:szCs w:val="24"/>
        </w:rPr>
        <w:t>[2016]125</w:t>
      </w:r>
      <w:r>
        <w:rPr>
          <w:rFonts w:ascii="宋体" w:hAnsi="宋体" w:eastAsia="宋体" w:cs="宋体"/>
          <w:kern w:val="0"/>
          <w:sz w:val="24"/>
          <w:szCs w:val="24"/>
        </w:rPr>
        <w:t>号）规定。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19、其他事项：详见招标文件第二章。</w:t>
      </w:r>
    </w:p>
    <w:p>
      <w:pPr>
        <w:widowControl/>
        <w:spacing w:before="75" w:after="75" w:line="360" w:lineRule="auto"/>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jc w:val="center"/>
        <w:rPr>
          <w:rFonts w:hint="eastAsia" w:ascii="宋体" w:hAnsi="宋体" w:eastAsia="宋体" w:cs="宋体"/>
          <w:b/>
          <w:bCs/>
          <w:kern w:val="0"/>
          <w:sz w:val="32"/>
        </w:rPr>
      </w:pPr>
      <w:r>
        <w:rPr>
          <w:rFonts w:hint="eastAsia" w:ascii="宋体" w:hAnsi="宋体" w:eastAsia="宋体" w:cs="宋体"/>
          <w:b/>
          <w:bCs/>
          <w:kern w:val="0"/>
          <w:sz w:val="32"/>
        </w:rPr>
        <w:br w:type="page"/>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第四章   资格审查与评标</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负责资格审查小组的组建及资格审查工作的组织。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Calibri" w:hAnsi="Calibri" w:eastAsia="宋体" w:cs="宋体"/>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的工作人员。</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283"/>
        <w:gridCol w:w="70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283"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c>
          <w:tcPr>
            <w:tcW w:w="7039"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2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70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spacing w:before="75" w:after="75" w:line="360" w:lineRule="auto"/>
        <w:ind w:firstLine="480"/>
        <w:jc w:val="left"/>
        <w:rPr>
          <w:rFonts w:ascii="宋体" w:hAnsi="宋体" w:eastAsia="宋体" w:cs="宋体"/>
          <w:kern w:val="0"/>
          <w:sz w:val="24"/>
          <w:szCs w:val="24"/>
        </w:rPr>
      </w:pP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②</w:t>
      </w:r>
      <w:r>
        <w:rPr>
          <w:rFonts w:ascii="Times New Roman" w:hAnsi="Times New Roman" w:eastAsia="宋体" w:cs="Times New Roman"/>
          <w:kern w:val="0"/>
          <w:sz w:val="24"/>
          <w:szCs w:val="24"/>
        </w:rPr>
        <w:t>.</w:t>
      </w:r>
      <w:r>
        <w:rPr>
          <w:rFonts w:ascii="宋体" w:hAnsi="宋体" w:eastAsia="宋体" w:cs="宋体"/>
          <w:kern w:val="0"/>
          <w:sz w:val="24"/>
          <w:szCs w:val="24"/>
        </w:rPr>
        <w:t>其他资格证明文件：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r>
        <w:rPr>
          <w:rFonts w:ascii="宋体" w:hAnsi="宋体" w:eastAsia="宋体" w:cs="宋体"/>
          <w:b/>
          <w:bCs/>
          <w:kern w:val="0"/>
          <w:sz w:val="24"/>
          <w:szCs w:val="24"/>
        </w:rPr>
        <w:br w:type="textWrapping"/>
      </w:r>
      <w:r>
        <w:rPr>
          <w:rFonts w:ascii="宋体" w:hAnsi="宋体" w:eastAsia="宋体" w:cs="宋体"/>
          <w:kern w:val="0"/>
          <w:sz w:val="24"/>
          <w:szCs w:val="24"/>
        </w:rPr>
        <w:t>  （1）一般情形：</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宋体"/>
          <w:kern w:val="0"/>
          <w:sz w:val="24"/>
          <w:szCs w:val="24"/>
        </w:rPr>
        <w:t>1.2</w:t>
      </w:r>
      <w:r>
        <w:rPr>
          <w:rFonts w:ascii="宋体" w:hAnsi="宋体" w:eastAsia="宋体" w:cs="宋体"/>
          <w:kern w:val="0"/>
          <w:sz w:val="24"/>
          <w:szCs w:val="24"/>
        </w:rPr>
        <w:t>、</w:t>
      </w:r>
      <w:r>
        <w:rPr>
          <w:rFonts w:ascii="Calibri" w:hAnsi="Calibri" w:eastAsia="宋体" w:cs="宋体"/>
          <w:kern w:val="0"/>
          <w:sz w:val="24"/>
          <w:szCs w:val="24"/>
        </w:rPr>
        <w:t>1.3</w:t>
      </w:r>
      <w:r>
        <w:rPr>
          <w:rFonts w:ascii="宋体" w:hAnsi="宋体" w:eastAsia="宋体" w:cs="宋体"/>
          <w:kern w:val="0"/>
          <w:sz w:val="24"/>
          <w:szCs w:val="24"/>
        </w:rPr>
        <w:t>、</w:t>
      </w:r>
      <w:r>
        <w:rPr>
          <w:rFonts w:ascii="Calibri" w:hAnsi="Calibri" w:eastAsia="宋体" w:cs="宋体"/>
          <w:kern w:val="0"/>
          <w:sz w:val="24"/>
          <w:szCs w:val="24"/>
        </w:rPr>
        <w:t>1.4</w:t>
      </w:r>
      <w:r>
        <w:rPr>
          <w:rFonts w:ascii="宋体" w:hAnsi="宋体" w:eastAsia="宋体" w:cs="宋体"/>
          <w:kern w:val="0"/>
          <w:sz w:val="24"/>
          <w:szCs w:val="24"/>
        </w:rPr>
        <w:t>条规定进行资格审查。</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统一对外发布。</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outlineLvl w:val="0"/>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4、资格审查结束后，由福建优胜招标代理有限公司负责评标委员会的组建及评标工作的组织。</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ascii="宋体" w:hAnsi="宋体" w:eastAsia="宋体" w:cs="宋体"/>
          <w:kern w:val="0"/>
          <w:sz w:val="24"/>
          <w:szCs w:val="24"/>
          <w:u w:val="single"/>
        </w:rPr>
        <w:t>5</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ascii="宋体" w:hAnsi="宋体" w:eastAsia="宋体" w:cs="宋体"/>
          <w:kern w:val="0"/>
          <w:sz w:val="24"/>
          <w:szCs w:val="24"/>
          <w:u w:val="single"/>
        </w:rPr>
        <w:t>4</w:t>
      </w:r>
      <w:r>
        <w:rPr>
          <w:rFonts w:ascii="宋体" w:hAnsi="宋体" w:eastAsia="宋体" w:cs="宋体"/>
          <w:kern w:val="0"/>
          <w:sz w:val="24"/>
          <w:szCs w:val="24"/>
        </w:rPr>
        <w:t>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统一对外发布。</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福建优胜招标代理有限公司</w:t>
      </w:r>
      <w:r>
        <w:rPr>
          <w:rFonts w:ascii="宋体" w:hAnsi="宋体" w:eastAsia="宋体" w:cs="宋体"/>
          <w:kern w:val="0"/>
          <w:sz w:val="24"/>
          <w:szCs w:val="24"/>
        </w:rPr>
        <w:t>或投标人提供的要求保密的资料，不得摘记翻印和外传。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项目一般情形：</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bl>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r>
        <w:rPr>
          <w:rFonts w:ascii="宋体" w:hAnsi="宋体" w:eastAsia="宋体" w:cs="宋体"/>
          <w:kern w:val="0"/>
          <w:sz w:val="24"/>
          <w:szCs w:val="24"/>
        </w:rPr>
        <w:br w:type="textWrapping"/>
      </w:r>
      <w:r>
        <w:rPr>
          <w:rFonts w:ascii="宋体" w:hAnsi="宋体" w:eastAsia="宋体" w:cs="宋体"/>
          <w:kern w:val="0"/>
          <w:sz w:val="24"/>
          <w:szCs w:val="24"/>
        </w:rPr>
        <w:t xml:space="preserve">包：1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投标人的技术因素实际得分少于招标文件设定的技术因素总分50%的。</w:t>
            </w:r>
          </w:p>
        </w:tc>
      </w:tr>
    </w:tbl>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本项目的商务条件不允许存在实质性偏离，否则视为无效投标。</w:t>
            </w:r>
          </w:p>
        </w:tc>
      </w:tr>
    </w:tbl>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vAlign w:val="center"/>
          </w:tcPr>
          <w:p>
            <w:pPr>
              <w:widowControl/>
              <w:spacing w:line="360" w:lineRule="auto"/>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投标人的投标报价超过本项目最高预算价者，按无效投标处理。</w:t>
            </w:r>
          </w:p>
        </w:tc>
      </w:tr>
    </w:tbl>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line="360" w:lineRule="auto"/>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line="360" w:lineRule="auto"/>
        <w:ind w:firstLine="480"/>
        <w:jc w:val="left"/>
        <w:outlineLvl w:val="0"/>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Calibri" w:hAnsi="Calibri" w:eastAsia="宋体" w:cs="宋体"/>
          <w:b/>
          <w:bCs/>
          <w:kern w:val="0"/>
          <w:sz w:val="24"/>
          <w:szCs w:val="24"/>
        </w:rPr>
        <w:t>6.3</w:t>
      </w:r>
      <w:r>
        <w:rPr>
          <w:rFonts w:ascii="宋体" w:hAnsi="宋体" w:eastAsia="宋体" w:cs="宋体"/>
          <w:b/>
          <w:bCs/>
          <w:kern w:val="0"/>
          <w:sz w:val="24"/>
          <w:szCs w:val="24"/>
        </w:rPr>
        <w:t>条第（</w:t>
      </w:r>
      <w:r>
        <w:rPr>
          <w:rFonts w:ascii="Calibri" w:hAnsi="Calibri" w:eastAsia="宋体" w:cs="宋体"/>
          <w:b/>
          <w:bCs/>
          <w:kern w:val="0"/>
          <w:sz w:val="24"/>
          <w:szCs w:val="24"/>
        </w:rPr>
        <w:t>1</w:t>
      </w:r>
      <w:r>
        <w:rPr>
          <w:rFonts w:ascii="宋体" w:hAnsi="宋体" w:eastAsia="宋体" w:cs="宋体"/>
          <w:b/>
          <w:bCs/>
          <w:kern w:val="0"/>
          <w:sz w:val="24"/>
          <w:szCs w:val="24"/>
        </w:rPr>
        <w:t>）、（</w:t>
      </w:r>
      <w:r>
        <w:rPr>
          <w:rFonts w:ascii="Calibri" w:hAnsi="Calibri" w:eastAsia="宋体" w:cs="宋体"/>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outlineLvl w:val="0"/>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Calibri" w:hAnsi="Calibri" w:eastAsia="宋体" w:cs="宋体"/>
          <w:kern w:val="0"/>
          <w:sz w:val="24"/>
          <w:szCs w:val="24"/>
        </w:rPr>
        <w:t>6.3</w:t>
      </w:r>
      <w:r>
        <w:rPr>
          <w:rFonts w:ascii="宋体" w:hAnsi="宋体" w:eastAsia="宋体" w:cs="宋体"/>
          <w:kern w:val="0"/>
          <w:sz w:val="24"/>
          <w:szCs w:val="24"/>
        </w:rPr>
        <w:t>条第（</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）款规定执行。</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Calibri" w:hAnsi="Calibri" w:eastAsia="宋体" w:cs="宋体"/>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Calibri" w:hAnsi="Calibri" w:eastAsia="宋体" w:cs="宋体"/>
          <w:kern w:val="0"/>
          <w:sz w:val="24"/>
          <w:szCs w:val="24"/>
        </w:rPr>
        <w:t>6.4</w:t>
      </w:r>
      <w:r>
        <w:rPr>
          <w:rFonts w:ascii="宋体" w:hAnsi="宋体" w:eastAsia="宋体" w:cs="宋体"/>
          <w:kern w:val="0"/>
          <w:sz w:val="24"/>
          <w:szCs w:val="24"/>
        </w:rPr>
        <w:t>条第（</w:t>
      </w:r>
      <w:r>
        <w:rPr>
          <w:rFonts w:ascii="Calibri" w:hAnsi="Calibri" w:eastAsia="宋体" w:cs="宋体"/>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Calibri" w:hAnsi="Calibri" w:eastAsia="宋体" w:cs="宋体"/>
          <w:kern w:val="0"/>
          <w:sz w:val="24"/>
          <w:szCs w:val="24"/>
        </w:rPr>
        <w:t>7.2</w:t>
      </w:r>
      <w:r>
        <w:rPr>
          <w:rFonts w:ascii="宋体" w:hAnsi="宋体" w:eastAsia="宋体" w:cs="宋体"/>
          <w:kern w:val="0"/>
          <w:sz w:val="24"/>
          <w:szCs w:val="24"/>
        </w:rPr>
        <w:t>条规定。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Calibri" w:hAnsi="Calibri" w:eastAsia="宋体" w:cs="宋体"/>
          <w:kern w:val="0"/>
          <w:sz w:val="24"/>
          <w:szCs w:val="24"/>
        </w:rPr>
        <w:t>9.7</w:t>
      </w:r>
      <w:r>
        <w:rPr>
          <w:rFonts w:ascii="宋体" w:hAnsi="宋体" w:eastAsia="宋体" w:cs="宋体"/>
          <w:kern w:val="0"/>
          <w:sz w:val="24"/>
          <w:szCs w:val="24"/>
        </w:rPr>
        <w:t>条规定情形）；</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福建优胜招标代理有限公司</w:t>
      </w:r>
      <w:r>
        <w:rPr>
          <w:rFonts w:ascii="宋体" w:hAnsi="宋体" w:eastAsia="宋体" w:cs="宋体"/>
          <w:b/>
          <w:bCs/>
          <w:kern w:val="0"/>
          <w:sz w:val="24"/>
          <w:szCs w:val="24"/>
        </w:rPr>
        <w:t>将依法组织后续采购活动（包括但不限于：重新招标、采用其他方式采购等）。</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7.1评标方法： 合同包1采用综合评分法。</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hd w:val="clear" w:color="auto" w:fill="FFFFFF"/>
        <w:spacing w:after="150" w:line="360" w:lineRule="auto"/>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24"/>
          <w:szCs w:val="24"/>
        </w:rPr>
        <w:t>合同包1采用综合评分法</w:t>
      </w:r>
      <w:r>
        <w:rPr>
          <w:rFonts w:ascii="宋体" w:hAnsi="宋体" w:eastAsia="微软雅黑" w:cs="宋体"/>
          <w:color w:val="393939"/>
          <w:kern w:val="0"/>
          <w:sz w:val="24"/>
          <w:szCs w:val="24"/>
        </w:rPr>
        <w:t>：</w:t>
      </w:r>
      <w:r>
        <w:rPr>
          <w:rFonts w:hint="eastAsia" w:ascii="微软雅黑" w:hAnsi="微软雅黑" w:eastAsia="微软雅黑" w:cs="宋体"/>
          <w:color w:val="393939"/>
          <w:kern w:val="0"/>
          <w:sz w:val="20"/>
          <w:szCs w:val="20"/>
        </w:rPr>
        <w:t xml:space="preserve">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（1）投标文件满足招标文件全部实质性要求，且按照评审因素的量化指标评审得分（即评标总得分）最高的投标人为中标候选人。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宋体"/>
          <w:kern w:val="0"/>
          <w:sz w:val="24"/>
          <w:szCs w:val="24"/>
        </w:rPr>
        <w:t>FA</w:t>
      </w:r>
      <w:r>
        <w:rPr>
          <w:rFonts w:ascii="宋体" w:hAnsi="宋体" w:eastAsia="宋体" w:cs="宋体"/>
          <w:kern w:val="0"/>
          <w:sz w:val="24"/>
          <w:szCs w:val="24"/>
        </w:rPr>
        <w:t>＝</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w:t>
      </w:r>
      <w:r>
        <w:rPr>
          <w:rFonts w:ascii="宋体" w:hAnsi="宋体" w:eastAsia="宋体" w:cs="宋体"/>
          <w:kern w:val="0"/>
          <w:sz w:val="24"/>
          <w:szCs w:val="24"/>
        </w:rPr>
        <w:t>＋</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（若有），其中：</w:t>
      </w:r>
      <w:r>
        <w:rPr>
          <w:rFonts w:ascii="Calibri" w:hAnsi="Calibri" w:eastAsia="宋体" w:cs="宋体"/>
          <w:kern w:val="0"/>
          <w:sz w:val="24"/>
          <w:szCs w:val="24"/>
        </w:rPr>
        <w:t>F1</w:t>
      </w:r>
      <w:r>
        <w:rPr>
          <w:rFonts w:ascii="宋体" w:hAnsi="宋体" w:eastAsia="宋体" w:cs="宋体"/>
          <w:kern w:val="0"/>
          <w:sz w:val="24"/>
          <w:szCs w:val="24"/>
        </w:rPr>
        <w:t>指价格项评审因素得分、</w:t>
      </w:r>
      <w:r>
        <w:rPr>
          <w:rFonts w:ascii="Calibri" w:hAnsi="Calibri" w:eastAsia="宋体" w:cs="宋体"/>
          <w:kern w:val="0"/>
          <w:sz w:val="24"/>
          <w:szCs w:val="24"/>
        </w:rPr>
        <w:t>F2</w:t>
      </w:r>
      <w:r>
        <w:rPr>
          <w:rFonts w:ascii="宋体" w:hAnsi="宋体" w:eastAsia="宋体" w:cs="宋体"/>
          <w:kern w:val="0"/>
          <w:sz w:val="24"/>
          <w:szCs w:val="24"/>
        </w:rPr>
        <w:t>指技术项评审因素得分、</w:t>
      </w:r>
      <w:r>
        <w:rPr>
          <w:rFonts w:ascii="Calibri" w:hAnsi="Calibri" w:eastAsia="宋体" w:cs="宋体"/>
          <w:kern w:val="0"/>
          <w:sz w:val="24"/>
          <w:szCs w:val="24"/>
        </w:rPr>
        <w:t>F3</w:t>
      </w:r>
      <w:r>
        <w:rPr>
          <w:rFonts w:ascii="宋体" w:hAnsi="宋体" w:eastAsia="宋体" w:cs="宋体"/>
          <w:kern w:val="0"/>
          <w:sz w:val="24"/>
          <w:szCs w:val="24"/>
        </w:rPr>
        <w:t>指商务项评审因素得分，</w:t>
      </w:r>
      <w:r>
        <w:rPr>
          <w:rFonts w:ascii="Calibri" w:hAnsi="Calibri" w:eastAsia="宋体" w:cs="宋体"/>
          <w:kern w:val="0"/>
          <w:sz w:val="24"/>
          <w:szCs w:val="24"/>
        </w:rPr>
        <w:t>A1</w:t>
      </w:r>
      <w:r>
        <w:rPr>
          <w:rFonts w:ascii="宋体" w:hAnsi="宋体" w:eastAsia="宋体" w:cs="宋体"/>
          <w:kern w:val="0"/>
          <w:sz w:val="24"/>
          <w:szCs w:val="24"/>
        </w:rPr>
        <w:t>指价格项评审因素所占的权重、</w:t>
      </w:r>
      <w:r>
        <w:rPr>
          <w:rFonts w:ascii="Calibri" w:hAnsi="Calibri" w:eastAsia="宋体" w:cs="宋体"/>
          <w:kern w:val="0"/>
          <w:sz w:val="24"/>
          <w:szCs w:val="24"/>
        </w:rPr>
        <w:t>A2</w:t>
      </w:r>
      <w:r>
        <w:rPr>
          <w:rFonts w:ascii="宋体" w:hAnsi="宋体" w:eastAsia="宋体" w:cs="宋体"/>
          <w:kern w:val="0"/>
          <w:sz w:val="24"/>
          <w:szCs w:val="24"/>
        </w:rPr>
        <w:t>指技术项评审因素所占的权重、</w:t>
      </w:r>
      <w:r>
        <w:rPr>
          <w:rFonts w:ascii="Calibri" w:hAnsi="Calibri" w:eastAsia="宋体" w:cs="宋体"/>
          <w:kern w:val="0"/>
          <w:sz w:val="24"/>
          <w:szCs w:val="24"/>
        </w:rPr>
        <w:t>A3</w:t>
      </w:r>
      <w:r>
        <w:rPr>
          <w:rFonts w:ascii="宋体" w:hAnsi="宋体" w:eastAsia="宋体" w:cs="宋体"/>
          <w:kern w:val="0"/>
          <w:sz w:val="24"/>
          <w:szCs w:val="24"/>
        </w:rPr>
        <w:t>指商务项评审因素所占的权重，</w:t>
      </w:r>
      <w:r>
        <w:rPr>
          <w:rFonts w:ascii="Calibri" w:hAnsi="Calibri" w:eastAsia="宋体" w:cs="宋体"/>
          <w:kern w:val="0"/>
          <w:sz w:val="24"/>
          <w:szCs w:val="24"/>
        </w:rPr>
        <w:t>A1+A2+A3=1</w:t>
      </w:r>
      <w:r>
        <w:rPr>
          <w:rFonts w:ascii="宋体" w:hAnsi="宋体" w:eastAsia="宋体" w:cs="宋体"/>
          <w:kern w:val="0"/>
          <w:sz w:val="24"/>
          <w:szCs w:val="24"/>
        </w:rPr>
        <w:t>、</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A3=100</w:t>
      </w:r>
      <w:r>
        <w:rPr>
          <w:rFonts w:ascii="宋体" w:hAnsi="宋体" w:eastAsia="宋体" w:cs="宋体"/>
          <w:kern w:val="0"/>
          <w:sz w:val="24"/>
          <w:szCs w:val="24"/>
        </w:rPr>
        <w:t>分（满分时），</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 xml:space="preserve">为加分项（即优先类节能产品、环境标志产品在采购活动中可享有的加分优惠）。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（3）各项评审因素的设置如下：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10</w:t>
      </w:r>
      <w:r>
        <w:rPr>
          <w:rFonts w:ascii="宋体" w:hAnsi="宋体" w:eastAsia="宋体" w:cs="宋体"/>
          <w:kern w:val="0"/>
          <w:sz w:val="24"/>
          <w:szCs w:val="24"/>
        </w:rPr>
        <w:t>分。</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4"/>
          <w:szCs w:val="24"/>
        </w:rPr>
        <w:t>=</w:t>
      </w:r>
      <w:r>
        <w:rPr>
          <w:rFonts w:ascii="宋体" w:hAnsi="宋体" w:eastAsia="宋体" w:cs="宋体"/>
          <w:kern w:val="0"/>
          <w:sz w:val="24"/>
          <w:szCs w:val="24"/>
        </w:rPr>
        <w:t>（评标基准价／投标报价）×</w:t>
      </w:r>
      <w:r>
        <w:rPr>
          <w:rFonts w:ascii="Calibri" w:hAnsi="Calibri" w:eastAsia="宋体" w:cs="宋体"/>
          <w:kern w:val="0"/>
          <w:sz w:val="24"/>
          <w:szCs w:val="24"/>
        </w:rPr>
        <w:t>100</w:t>
      </w:r>
      <w:r>
        <w:rPr>
          <w:rFonts w:ascii="宋体" w:hAnsi="宋体" w:eastAsia="宋体" w:cs="宋体"/>
          <w:kern w:val="0"/>
          <w:sz w:val="24"/>
          <w:szCs w:val="24"/>
        </w:rPr>
        <w:t xml:space="preserve">。因落实政府采购政策需进行价格扣除的，以扣除后的价格计算评标基准价和投标报价。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Calibri" w:hAnsi="Calibri" w:eastAsia="宋体" w:cs="宋体"/>
          <w:kern w:val="0"/>
          <w:sz w:val="24"/>
          <w:szCs w:val="24"/>
        </w:rPr>
        <w:t>b.</w:t>
      </w:r>
      <w:r>
        <w:rPr>
          <w:rFonts w:ascii="宋体" w:hAnsi="宋体" w:eastAsia="宋体" w:cs="宋体"/>
          <w:kern w:val="0"/>
          <w:sz w:val="24"/>
          <w:szCs w:val="24"/>
        </w:rPr>
        <w:t>价格扣除的规则如下：</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562"/>
        <w:gridCol w:w="776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56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评标项目</w:t>
            </w:r>
          </w:p>
        </w:tc>
        <w:tc>
          <w:tcPr>
            <w:tcW w:w="77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56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7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关于中小企业生产或销售的产品或服务部分的评审优惠内容及幅度： 根据中华人民共和国财政部、中华人民共和国工业和信息化部《政府采购促进中小企业发展暂行办法》（财库[2011]181号）文件的规定，中小企业参与投标报价享受相应优惠对小型和微型企业产品的价格给予6%的价格扣除，用扣除后的价格参与价格分的评审。符合财政部、司法部文件（财库[2014]68号）规定的监狱企业亦可享受扶持政策。所有扣除价格的货币单位与投标人报价的货币单位一致。(若为服务类采购项目，则不享受监狱企业及中小企业价格扣除优惠政策） （1）中小企业（含中型、小型、微型企业，下同）应当同时符合以下条件： ① 符合中小企业划分标准（按《关于印发中小企业划型标准规定的通知》（工信部联企业〔2011〕300号）执行）。 ② 提供本企业制造的货物、承担的工程或者服务，或者提供其他中小企业制造的货物。本项所称货物不包括使用大型企业注册商标的货物。 ③ 小型、微型企业提供中型企业制造的货物的，视同为中型企业。 （2）小型和微型企业适用优惠内容及幅度时须提供相关资料，否则不给予价格扣除： ① 《中小企业生产或销售的产品或服务优惠明细表》。 ② 《中小企业声明函》（格式附后）。 ③ 由投标产品生产企业且投标人所在地县级以上中小企业主管部门出具的证明文件复印件；（原件备查） ④ 应提供参与报价时最近2个月的《社会保险费申报表》、《社会保险费申报明细表》及以下资金证明：（1）实行电子缴纳方式的，及银行出具的缴款收讫凭证复印件；（2）实行现场缴纳方式的，应提供辖区内税务机关或省辖区内社保机构出具的参与报价时最近2个月缴纳社会保险资金证明。以上证明材料须加盖报价企业的公章。 注：中小微企业划分标准表（工信部联企业〔2011〕300号）若所投标产品为进口产品的，不适用《政府采购促进中小企业发展暂行办法》。 （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 ①监狱企业参加采购活动时，提供由省级及以上监狱管理局、戒毒管理局（含新疆生产建设兵团）出具的属于监狱企业的证明文件。 ② 监狱企业视同小型、微型企业。 以上所有证明文件复印件须加盖投标人公章并注明“与原件一致”，否则不予价格扣除。评标委员会审查此项响应性只根据投标文件本身的内容，而不寻求其他的外部证据。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2、符合条件的残疾人福利性单位在参加政府采购活动时，应当提供《三部门联合发布关于促进残疾人就业政府采购政策的通知》规定的《残疾人福利性单位声明函》(见中国政府采购网 http://www.ccgp.gov.cn/news/201709/t20170901_8784576.htm )，并对声明的真实性负责。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widowControl/>
        <w:spacing w:before="100" w:beforeAutospacing="1" w:after="100" w:afterAutospacing="1"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76</w:t>
      </w:r>
      <w:r>
        <w:rPr>
          <w:rFonts w:ascii="宋体" w:hAnsi="宋体" w:eastAsia="宋体" w:cs="宋体"/>
          <w:kern w:val="0"/>
          <w:sz w:val="24"/>
          <w:szCs w:val="24"/>
        </w:rPr>
        <w:t>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评标项目</w:t>
            </w:r>
          </w:p>
        </w:tc>
        <w:tc>
          <w:tcPr>
            <w:tcW w:w="1276"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评标分值</w:t>
            </w:r>
          </w:p>
        </w:tc>
        <w:tc>
          <w:tcPr>
            <w:tcW w:w="6004"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1、服务响应情况</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Theme="minorEastAsia" w:hAnsiTheme="minorEastAsia"/>
                <w:sz w:val="24"/>
                <w:szCs w:val="24"/>
              </w:rPr>
              <w:t>20</w:t>
            </w:r>
          </w:p>
        </w:tc>
        <w:tc>
          <w:tcPr>
            <w:tcW w:w="6004" w:type="dxa"/>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根据投标人对招标文件第五章《招标内容及要求》二、技术和服务要求的各项服务要求的响应情况，全部满足的得20分，每负偏离一项扣3分，扣完为止，正偏离不加分。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2、总体</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说明</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Theme="minorEastAsia" w:hAnsiTheme="minorEastAsia"/>
                <w:sz w:val="24"/>
                <w:szCs w:val="24"/>
              </w:rPr>
              <w:t>3</w:t>
            </w:r>
          </w:p>
        </w:tc>
        <w:tc>
          <w:tcPr>
            <w:tcW w:w="6004" w:type="dxa"/>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根据投标人提供的规划设计总体说明，规划设计思路明确、逻辑清晰。由评委进行横向比较，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3、规划理念</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Theme="minorEastAsia" w:hAnsiTheme="minorEastAsia"/>
                <w:sz w:val="24"/>
                <w:szCs w:val="24"/>
              </w:rPr>
              <w:t>3</w:t>
            </w:r>
          </w:p>
        </w:tc>
        <w:tc>
          <w:tcPr>
            <w:tcW w:w="6004" w:type="dxa"/>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根据投标人的规划设计理念先进性，对标国内外案例，充分利用现代标识简洁、个性、充满人性化的精细化设计情况。结合福州本地特色，对相关案例进行深入解读，提出适合本地的导向标识系统解决思路，具有创新性，且科学合理具备可操作性。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4、规划内容1</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现状问题分析与研究。</w:t>
            </w:r>
            <w:r>
              <w:rPr>
                <w:rFonts w:hint="eastAsia" w:asciiTheme="minorEastAsia" w:hAnsiTheme="minorEastAsia"/>
                <w:sz w:val="24"/>
                <w:szCs w:val="24"/>
              </w:rPr>
              <w:t>科学合理分析福州既有车行、旅游、人行等标识系统现状存在问题。可选取示范段道路，通过建立模型对其解决思路及观点进行阐述和论证。</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Theme="minorEastAsia" w:hAnsiTheme="minorEastAsia"/>
                <w:bCs/>
                <w:color w:val="000000" w:themeColor="text1"/>
                <w:sz w:val="24"/>
                <w:szCs w:val="24"/>
              </w:rPr>
              <w:t>规划内容2</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技术路线</w:t>
            </w:r>
            <w:r>
              <w:rPr>
                <w:rFonts w:hint="eastAsia" w:asciiTheme="minorEastAsia" w:hAnsiTheme="minorEastAsia"/>
                <w:sz w:val="24"/>
                <w:szCs w:val="24"/>
              </w:rPr>
              <w:t>：根据现状分析以及研究思路的阐述，并通过对现有国内外导向标识标准的研究，提出科学、可操作性的技术路线</w:t>
            </w:r>
            <w:r>
              <w:rPr>
                <w:rFonts w:hint="eastAsia" w:cs="宋体-方正超大字符集" w:asciiTheme="minorEastAsia" w:hAnsiTheme="minorEastAsia"/>
                <w:sz w:val="24"/>
                <w:szCs w:val="24"/>
              </w:rPr>
              <w:t>。科学合理，有针对性，得3分；方法可行，措施较好，得2分；措施力度不够，得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未提供的不得分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6、</w:t>
            </w:r>
            <w:r>
              <w:rPr>
                <w:rFonts w:hint="eastAsia" w:asciiTheme="minorEastAsia" w:hAnsiTheme="minorEastAsia"/>
                <w:bCs/>
                <w:color w:val="000000" w:themeColor="text1"/>
                <w:sz w:val="24"/>
                <w:szCs w:val="24"/>
              </w:rPr>
              <w:t>规划内容3</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总体目标：</w:t>
            </w:r>
            <w:r>
              <w:rPr>
                <w:rFonts w:hint="eastAsia" w:asciiTheme="minorEastAsia" w:hAnsiTheme="minorEastAsia"/>
                <w:sz w:val="24"/>
                <w:szCs w:val="24"/>
              </w:rPr>
              <w:t>根据投标人提出的标识系统规划总体目标，根据其目标</w:t>
            </w:r>
            <w:r>
              <w:rPr>
                <w:rFonts w:hint="eastAsia" w:cs="宋体-方正超大字符集" w:asciiTheme="minorEastAsia" w:hAnsiTheme="minorEastAsia"/>
                <w:sz w:val="24"/>
                <w:szCs w:val="24"/>
              </w:rPr>
              <w:t>定位精准情况。</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7、</w:t>
            </w:r>
            <w:r>
              <w:rPr>
                <w:rFonts w:hint="eastAsia" w:asciiTheme="minorEastAsia" w:hAnsiTheme="minorEastAsia"/>
                <w:bCs/>
                <w:color w:val="000000" w:themeColor="text1"/>
                <w:sz w:val="24"/>
                <w:szCs w:val="24"/>
              </w:rPr>
              <w:t>规划内容4</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总体布局：</w:t>
            </w:r>
            <w:r>
              <w:rPr>
                <w:rFonts w:hint="eastAsia" w:asciiTheme="minorEastAsia" w:hAnsiTheme="minorEastAsia"/>
                <w:sz w:val="24"/>
                <w:szCs w:val="24"/>
              </w:rPr>
              <w:t>根据投标人提供的总体布局方案是否具备分区理念、体现差异化设计，并综合考虑各类标识。</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8、</w:t>
            </w:r>
            <w:r>
              <w:rPr>
                <w:rFonts w:hint="eastAsia" w:asciiTheme="minorEastAsia" w:hAnsiTheme="minorEastAsia"/>
                <w:bCs/>
                <w:color w:val="000000" w:themeColor="text1"/>
                <w:sz w:val="24"/>
                <w:szCs w:val="24"/>
              </w:rPr>
              <w:t>规划内容5</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cs="宋体-方正超大字符集" w:asciiTheme="minorEastAsia" w:hAnsiTheme="minorEastAsia"/>
                <w:b/>
                <w:sz w:val="24"/>
                <w:szCs w:val="24"/>
              </w:rPr>
              <w:t>改善措施：</w:t>
            </w:r>
            <w:r>
              <w:rPr>
                <w:rFonts w:hint="eastAsia" w:cs="宋体-方正超大字符集" w:asciiTheme="minorEastAsia" w:hAnsiTheme="minorEastAsia"/>
                <w:sz w:val="24"/>
                <w:szCs w:val="24"/>
              </w:rPr>
              <w:t>针对福州城市现有各类标识系统存在问题，提出相关改进措施。由评委进行</w:t>
            </w:r>
            <w:r>
              <w:rPr>
                <w:rFonts w:hint="eastAsia" w:cs="宋体-方正超大字符集" w:asciiTheme="minorEastAsia" w:hAnsiTheme="minorEastAsia"/>
                <w:color w:val="000000" w:themeColor="text1"/>
                <w:sz w:val="24"/>
                <w:szCs w:val="24"/>
              </w:rPr>
              <w:t>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9、</w:t>
            </w:r>
            <w:r>
              <w:rPr>
                <w:rFonts w:hint="eastAsia" w:asciiTheme="minorEastAsia" w:hAnsiTheme="minorEastAsia"/>
                <w:bCs/>
                <w:color w:val="000000" w:themeColor="text1"/>
                <w:sz w:val="24"/>
                <w:szCs w:val="24"/>
              </w:rPr>
              <w:t>规划内容6</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信息分类：</w:t>
            </w:r>
            <w:r>
              <w:rPr>
                <w:rFonts w:hint="eastAsia" w:asciiTheme="minorEastAsia" w:hAnsiTheme="minorEastAsia"/>
                <w:sz w:val="24"/>
                <w:szCs w:val="24"/>
              </w:rPr>
              <w:t>投标人提供一期示范区、示范段范围内的导向标识指引信息分类方案。</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10、</w:t>
            </w:r>
            <w:r>
              <w:rPr>
                <w:rFonts w:hint="eastAsia" w:asciiTheme="minorEastAsia" w:hAnsiTheme="minorEastAsia"/>
                <w:bCs/>
                <w:color w:val="000000" w:themeColor="text1"/>
                <w:sz w:val="24"/>
                <w:szCs w:val="24"/>
              </w:rPr>
              <w:t>规划内容7</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一期示范区、示范段布点规划：</w:t>
            </w:r>
            <w:r>
              <w:rPr>
                <w:rFonts w:hint="eastAsia" w:asciiTheme="minorEastAsia" w:hAnsiTheme="minorEastAsia"/>
                <w:sz w:val="24"/>
                <w:szCs w:val="24"/>
              </w:rPr>
              <w:t>投标人提出科学、合理、全面的布点规划方案。（应从如何布点、如何确定位置等方面出发进行阐述）</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11、</w:t>
            </w:r>
            <w:r>
              <w:rPr>
                <w:rFonts w:hint="eastAsia" w:asciiTheme="minorEastAsia" w:hAnsiTheme="minorEastAsia"/>
                <w:bCs/>
                <w:color w:val="000000" w:themeColor="text1"/>
                <w:sz w:val="24"/>
                <w:szCs w:val="24"/>
              </w:rPr>
              <w:t>规划内容8</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cs="宋体-方正超大字符集" w:asciiTheme="minorEastAsia" w:hAnsiTheme="minorEastAsia"/>
                <w:b/>
                <w:sz w:val="24"/>
                <w:szCs w:val="24"/>
              </w:rPr>
              <w:t>资源整合</w:t>
            </w:r>
            <w:r>
              <w:rPr>
                <w:rFonts w:hint="eastAsia" w:cs="宋体-方正超大字符集" w:asciiTheme="minorEastAsia" w:hAnsiTheme="minorEastAsia"/>
                <w:sz w:val="24"/>
                <w:szCs w:val="24"/>
              </w:rPr>
              <w:t>：根据投标人提出城市空间资源整合，优化导向标识系统类型、展示方式，节约空间、打造特色，造型设计、版面设计、材料应用、注重与环境的协调等方面的方案。</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12、</w:t>
            </w:r>
            <w:r>
              <w:rPr>
                <w:rFonts w:hint="eastAsia" w:asciiTheme="minorEastAsia" w:hAnsiTheme="minorEastAsia"/>
                <w:bCs/>
                <w:color w:val="000000" w:themeColor="text1"/>
                <w:sz w:val="24"/>
                <w:szCs w:val="24"/>
              </w:rPr>
              <w:t>规划内容9</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cs="宋体-方正超大字符集" w:asciiTheme="minorEastAsia" w:hAnsiTheme="minorEastAsia"/>
                <w:b/>
                <w:sz w:val="24"/>
                <w:szCs w:val="24"/>
              </w:rPr>
            </w:pPr>
            <w:r>
              <w:rPr>
                <w:rFonts w:hint="eastAsia" w:asciiTheme="minorEastAsia" w:hAnsiTheme="minorEastAsia"/>
                <w:b/>
                <w:sz w:val="24"/>
                <w:szCs w:val="24"/>
              </w:rPr>
              <w:t>规范标准：</w:t>
            </w:r>
            <w:r>
              <w:rPr>
                <w:rFonts w:hint="eastAsia" w:asciiTheme="minorEastAsia" w:hAnsiTheme="minorEastAsia"/>
                <w:sz w:val="24"/>
                <w:szCs w:val="24"/>
              </w:rPr>
              <w:t>根据投标人方案的版面文字、图形、翻译、支撑方式与杆件样式的具体研究思路进行完整、合理阐述，符合相关规范及标准要求程度。</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w:t>
            </w:r>
            <w:r>
              <w:rPr>
                <w:rFonts w:hint="eastAsia" w:cs="宋体-方正超大字符集" w:asciiTheme="minorEastAsia" w:hAnsiTheme="minorEastAsia"/>
                <w:color w:val="000000" w:themeColor="text1"/>
                <w:sz w:val="24"/>
                <w:szCs w:val="24"/>
              </w:rPr>
              <w:t>未提供者不得分</w:t>
            </w:r>
            <w:r>
              <w:rPr>
                <w:rFonts w:hint="eastAsia" w:cs="宋体-方正超大字符集"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13、</w:t>
            </w:r>
            <w:r>
              <w:rPr>
                <w:rFonts w:hint="eastAsia" w:asciiTheme="minorEastAsia" w:hAnsiTheme="minorEastAsia"/>
                <w:bCs/>
                <w:color w:val="000000" w:themeColor="text1"/>
                <w:sz w:val="24"/>
                <w:szCs w:val="24"/>
              </w:rPr>
              <w:t>规划内容10</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彰显特色：</w:t>
            </w:r>
            <w:r>
              <w:rPr>
                <w:rFonts w:hint="eastAsia" w:asciiTheme="minorEastAsia" w:hAnsiTheme="minorEastAsia"/>
                <w:sz w:val="24"/>
                <w:szCs w:val="24"/>
              </w:rPr>
              <w:t>根据投标人标识设计方案的特色及内涵进行阐述。由评委进行横向比较，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14、规划图纸1</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vAlign w:val="center"/>
          </w:tcPr>
          <w:p>
            <w:pPr>
              <w:snapToGrid w:val="0"/>
              <w:spacing w:line="360" w:lineRule="auto"/>
              <w:ind w:firstLine="504" w:firstLineChars="200"/>
              <w:rPr>
                <w:rFonts w:cs="仿宋_GB2312" w:asciiTheme="minorEastAsia" w:hAnsiTheme="minorEastAsia"/>
                <w:spacing w:val="6"/>
                <w:sz w:val="24"/>
                <w:szCs w:val="24"/>
              </w:rPr>
            </w:pPr>
            <w:r>
              <w:rPr>
                <w:rFonts w:hint="eastAsia" w:cs="仿宋_GB2312" w:asciiTheme="minorEastAsia" w:hAnsiTheme="minorEastAsia"/>
                <w:spacing w:val="6"/>
                <w:sz w:val="24"/>
                <w:szCs w:val="24"/>
              </w:rPr>
              <w:t>车行指路标识（含旅游标识）版面设计方案：投标人投标时提供3套方案及以上得3分，提供2套得2分，提供1套得1分，未提供者不得分。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15、</w:t>
            </w:r>
            <w:r>
              <w:rPr>
                <w:rFonts w:hint="eastAsia" w:asciiTheme="minorEastAsia" w:hAnsiTheme="minorEastAsia"/>
                <w:bCs/>
                <w:color w:val="000000" w:themeColor="text1"/>
                <w:sz w:val="24"/>
                <w:szCs w:val="24"/>
              </w:rPr>
              <w:t>规划图纸2</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2</w:t>
            </w:r>
          </w:p>
        </w:tc>
        <w:tc>
          <w:tcPr>
            <w:tcW w:w="6004" w:type="dxa"/>
            <w:vAlign w:val="center"/>
          </w:tcPr>
          <w:p>
            <w:pPr>
              <w:snapToGrid w:val="0"/>
              <w:spacing w:line="360" w:lineRule="auto"/>
              <w:rPr>
                <w:rFonts w:cs="仿宋_GB2312" w:asciiTheme="minorEastAsia" w:hAnsiTheme="minorEastAsia"/>
                <w:spacing w:val="6"/>
                <w:sz w:val="24"/>
                <w:szCs w:val="24"/>
              </w:rPr>
            </w:pPr>
            <w:r>
              <w:rPr>
                <w:rFonts w:hint="eastAsia" w:cs="仿宋_GB2312" w:asciiTheme="minorEastAsia" w:hAnsiTheme="minorEastAsia"/>
                <w:spacing w:val="6"/>
                <w:sz w:val="24"/>
                <w:szCs w:val="24"/>
              </w:rPr>
              <w:t>诱导标识版面设计：投标人投标时提供2套方案及以上得2分，提供1套得1分，未提供者不得分。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16、现场解说1</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vAlign w:val="center"/>
          </w:tcPr>
          <w:p>
            <w:pPr>
              <w:snapToGrid w:val="0"/>
              <w:spacing w:line="360" w:lineRule="auto"/>
              <w:ind w:firstLine="504" w:firstLineChars="200"/>
              <w:rPr>
                <w:rFonts w:cs="仿宋_GB2312" w:asciiTheme="minorEastAsia" w:hAnsiTheme="minorEastAsia"/>
                <w:spacing w:val="6"/>
                <w:sz w:val="24"/>
                <w:szCs w:val="24"/>
              </w:rPr>
            </w:pPr>
            <w:r>
              <w:rPr>
                <w:rFonts w:hint="eastAsia" w:cs="仿宋_GB2312" w:asciiTheme="minorEastAsia" w:hAnsiTheme="minorEastAsia"/>
                <w:spacing w:val="6"/>
                <w:sz w:val="24"/>
                <w:szCs w:val="24"/>
              </w:rPr>
              <w:t>投标人采用PPT解说方式针对自身曾完成过同类先进案例进行现场解说，根据解说情况评分。</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分，未进行解说者不得分。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17、现场解说2</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vAlign w:val="center"/>
          </w:tcPr>
          <w:p>
            <w:pPr>
              <w:snapToGrid w:val="0"/>
              <w:spacing w:line="360" w:lineRule="auto"/>
              <w:ind w:firstLine="504" w:firstLineChars="200"/>
              <w:rPr>
                <w:rFonts w:cs="仿宋_GB2312" w:asciiTheme="minorEastAsia" w:hAnsiTheme="minorEastAsia"/>
                <w:spacing w:val="6"/>
                <w:sz w:val="24"/>
                <w:szCs w:val="24"/>
              </w:rPr>
            </w:pPr>
            <w:r>
              <w:rPr>
                <w:rFonts w:hint="eastAsia" w:cs="仿宋_GB2312" w:asciiTheme="minorEastAsia" w:hAnsiTheme="minorEastAsia"/>
                <w:spacing w:val="6"/>
                <w:sz w:val="24"/>
                <w:szCs w:val="24"/>
              </w:rPr>
              <w:t>投标人采用PPT解说方式针对福州标识现状基本情况及现有问题进行现场解说，根据解说内容是否能合理解决现有问题等相关情况评分。</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分，未进行解说者不得分。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18、现场解说3</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vAlign w:val="center"/>
          </w:tcPr>
          <w:p>
            <w:pPr>
              <w:snapToGrid w:val="0"/>
              <w:spacing w:line="360" w:lineRule="auto"/>
              <w:ind w:firstLine="504" w:firstLineChars="200"/>
              <w:rPr>
                <w:rFonts w:cs="仿宋_GB2312" w:asciiTheme="minorEastAsia" w:hAnsiTheme="minorEastAsia"/>
                <w:spacing w:val="6"/>
                <w:sz w:val="24"/>
                <w:szCs w:val="24"/>
              </w:rPr>
            </w:pPr>
            <w:r>
              <w:rPr>
                <w:rFonts w:hint="eastAsia" w:cs="仿宋_GB2312" w:asciiTheme="minorEastAsia" w:hAnsiTheme="minorEastAsia"/>
                <w:spacing w:val="6"/>
                <w:sz w:val="24"/>
                <w:szCs w:val="24"/>
              </w:rPr>
              <w:t>投标人采用PPT解说方式为福州标识提供的总体方案进行现场解说，根据其方案内容是否综合考虑福州城市规划特点、是否能合理提升福州城市引导系统等情况评分。</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分，未进行解说者不得分。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19、现场解说4</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vAlign w:val="center"/>
          </w:tcPr>
          <w:p>
            <w:pPr>
              <w:snapToGrid w:val="0"/>
              <w:spacing w:line="360" w:lineRule="auto"/>
              <w:ind w:firstLine="504" w:firstLineChars="200"/>
              <w:rPr>
                <w:rFonts w:cs="仿宋_GB2312" w:asciiTheme="minorEastAsia" w:hAnsiTheme="minorEastAsia"/>
                <w:spacing w:val="6"/>
                <w:sz w:val="24"/>
                <w:szCs w:val="24"/>
              </w:rPr>
            </w:pPr>
            <w:r>
              <w:rPr>
                <w:rFonts w:hint="eastAsia" w:cs="仿宋_GB2312" w:asciiTheme="minorEastAsia" w:hAnsiTheme="minorEastAsia"/>
                <w:spacing w:val="6"/>
                <w:sz w:val="24"/>
                <w:szCs w:val="24"/>
              </w:rPr>
              <w:t>投标人采用PPT解说方式针对一期示范区、示范段的详细设计方案进行现场解说，根据汇报情况评分。</w:t>
            </w:r>
            <w:r>
              <w:rPr>
                <w:rFonts w:hint="eastAsia" w:cs="宋体-方正超大字符集" w:asciiTheme="minorEastAsia" w:hAnsiTheme="minorEastAsia"/>
                <w:color w:val="000000" w:themeColor="text1"/>
                <w:sz w:val="24"/>
                <w:szCs w:val="24"/>
              </w:rPr>
              <w:t>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分，未进行解说者不得分。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20、项目视频概况</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投标人需制作不低于一分钟的视频短片，视频内容包含但不限于介绍项目相关概况及投标人设计理念等。根据视频短片内容是否符合彰显福州地域文化情况情况评分。由评委进行横向比较，</w:t>
            </w:r>
            <w:r>
              <w:rPr>
                <w:rFonts w:hint="eastAsia" w:cs="宋体-方正超大字符集" w:asciiTheme="minorEastAsia" w:hAnsiTheme="minorEastAsia"/>
                <w:sz w:val="24"/>
                <w:szCs w:val="24"/>
              </w:rPr>
              <w:t>优得3分，良得2分，一般得</w:t>
            </w:r>
            <w:r>
              <w:rPr>
                <w:rFonts w:cs="宋体-方正超大字符集" w:asciiTheme="minorEastAsia" w:hAnsiTheme="minorEastAsia"/>
                <w:sz w:val="24"/>
                <w:szCs w:val="24"/>
              </w:rPr>
              <w:t>1</w:t>
            </w:r>
            <w:r>
              <w:rPr>
                <w:rFonts w:hint="eastAsia" w:cs="宋体-方正超大字符集" w:asciiTheme="minorEastAsia" w:hAnsiTheme="minorEastAsia"/>
                <w:sz w:val="24"/>
                <w:szCs w:val="24"/>
              </w:rPr>
              <w:t>分，未提供者不得分。</w:t>
            </w:r>
          </w:p>
        </w:tc>
      </w:tr>
    </w:tbl>
    <w:p>
      <w:pPr>
        <w:widowControl/>
        <w:spacing w:before="100" w:beforeAutospacing="1" w:after="100" w:afterAutospacing="1"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14</w:t>
      </w:r>
      <w:r>
        <w:rPr>
          <w:rFonts w:ascii="宋体" w:hAnsi="宋体" w:eastAsia="宋体" w:cs="宋体"/>
          <w:kern w:val="0"/>
          <w:sz w:val="24"/>
          <w:szCs w:val="24"/>
        </w:rPr>
        <w:t>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评标项目</w:t>
            </w:r>
          </w:p>
        </w:tc>
        <w:tc>
          <w:tcPr>
            <w:tcW w:w="1276" w:type="dxa"/>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评标分值</w:t>
            </w:r>
          </w:p>
        </w:tc>
        <w:tc>
          <w:tcPr>
            <w:tcW w:w="6004" w:type="dxa"/>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1、企业综合实力</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1</w:t>
            </w:r>
          </w:p>
        </w:tc>
        <w:tc>
          <w:tcPr>
            <w:tcW w:w="6004" w:type="dxa"/>
          </w:tcPr>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投标人具备城乡规划编制乙级（及以上）的得0.5分，具备风景园林工程设计专项乙级（及以上）的得0.5分，满分1分。</w:t>
            </w:r>
            <w:r>
              <w:rPr>
                <w:rFonts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2、企业</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业绩</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widowControl/>
              <w:spacing w:before="100" w:beforeAutospacing="1" w:after="100" w:afterAutospacing="1" w:line="360" w:lineRule="auto"/>
              <w:ind w:firstLine="504" w:firstLineChars="200"/>
              <w:jc w:val="left"/>
              <w:rPr>
                <w:rFonts w:ascii="宋体" w:hAnsi="宋体" w:eastAsia="宋体" w:cs="宋体"/>
                <w:kern w:val="0"/>
                <w:sz w:val="24"/>
                <w:szCs w:val="24"/>
              </w:rPr>
            </w:pPr>
            <w:r>
              <w:rPr>
                <w:rFonts w:hint="eastAsia" w:cs="仿宋_GB2312" w:asciiTheme="minorEastAsia" w:hAnsiTheme="minorEastAsia"/>
                <w:spacing w:val="6"/>
                <w:sz w:val="24"/>
                <w:szCs w:val="24"/>
              </w:rPr>
              <w:t>综合项目业绩：投标人提供2014年06月1日至今每提供1项</w:t>
            </w:r>
            <w:r>
              <w:rPr>
                <w:rFonts w:hint="eastAsia" w:cs="宋体" w:asciiTheme="minorEastAsia" w:hAnsiTheme="minorEastAsia"/>
                <w:kern w:val="0"/>
                <w:sz w:val="24"/>
                <w:szCs w:val="24"/>
              </w:rPr>
              <w:t>（以合同签订时间为准）</w:t>
            </w:r>
            <w:r>
              <w:rPr>
                <w:rFonts w:hint="eastAsia" w:cs="仿宋_GB2312" w:asciiTheme="minorEastAsia" w:hAnsiTheme="minorEastAsia"/>
                <w:spacing w:val="6"/>
                <w:sz w:val="24"/>
                <w:szCs w:val="24"/>
              </w:rPr>
              <w:t>签署过的城市导向系统或城市视觉识别系统的设计项目业绩的得1分，满分3分。</w:t>
            </w:r>
            <w:r>
              <w:rPr>
                <w:rFonts w:ascii="宋体" w:hAnsi="宋体" w:cs="宋体"/>
                <w:kern w:val="0"/>
                <w:sz w:val="24"/>
                <w:szCs w:val="24"/>
              </w:rPr>
              <w:t>【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3、企业</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案例</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类似项目案例（本项与“企业业绩”不重复得分）：投标人提供2014年06月01日至今（以合同签订时间为准）签署过的包含导向系统的景观设计、城市家具等城市视觉要素规划设计合同，每个合同计0.5分。满分3分。（必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4、企业</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荣誉</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3</w:t>
            </w:r>
          </w:p>
        </w:tc>
        <w:tc>
          <w:tcPr>
            <w:tcW w:w="6004" w:type="dxa"/>
          </w:tcPr>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投标人的城市导向系统或城市视觉识别系统、每获得市级及以上或国内行业组织颁发的奖项，每提供一个得1分。满分3分。（须提供证书复印件加盖投标人公章）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5、设计</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团队1</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2</w:t>
            </w:r>
          </w:p>
        </w:tc>
        <w:tc>
          <w:tcPr>
            <w:tcW w:w="6004" w:type="dxa"/>
          </w:tcPr>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在团队配备2名中级工程师的基础条件之上，每多提供一名国家注册城乡规划师或城市交通专业、视觉设计、景观设计专业（三个专业之一）高级工程师的得1分。满分2分。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6、设计</w:t>
            </w:r>
          </w:p>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团队2</w:t>
            </w:r>
          </w:p>
        </w:tc>
        <w:tc>
          <w:tcPr>
            <w:tcW w:w="1276" w:type="dxa"/>
            <w:vAlign w:val="center"/>
          </w:tcPr>
          <w:p>
            <w:pPr>
              <w:widowControl/>
              <w:spacing w:before="100" w:beforeAutospacing="1" w:after="100" w:afterAutospacing="1" w:line="360" w:lineRule="auto"/>
              <w:rPr>
                <w:rFonts w:ascii="宋体" w:hAnsi="宋体" w:eastAsia="宋体" w:cs="宋体"/>
                <w:kern w:val="0"/>
                <w:sz w:val="24"/>
                <w:szCs w:val="24"/>
              </w:rPr>
            </w:pPr>
            <w:r>
              <w:rPr>
                <w:rFonts w:hint="eastAsia" w:ascii="宋体" w:hAnsi="宋体" w:eastAsia="宋体" w:cs="宋体"/>
                <w:kern w:val="0"/>
                <w:sz w:val="24"/>
                <w:szCs w:val="24"/>
              </w:rPr>
              <w:t>2</w:t>
            </w:r>
          </w:p>
        </w:tc>
        <w:tc>
          <w:tcPr>
            <w:tcW w:w="6004" w:type="dxa"/>
          </w:tcPr>
          <w:p>
            <w:pPr>
              <w:widowControl/>
              <w:spacing w:before="100" w:beforeAutospacing="1" w:after="100" w:afterAutospacing="1" w:line="360" w:lineRule="auto"/>
              <w:jc w:val="left"/>
              <w:rPr>
                <w:rFonts w:ascii="宋体" w:hAnsi="宋体" w:eastAsia="宋体" w:cs="宋体"/>
                <w:color w:val="FF0000"/>
                <w:kern w:val="0"/>
                <w:sz w:val="24"/>
                <w:szCs w:val="24"/>
              </w:rPr>
            </w:pPr>
            <w:r>
              <w:rPr>
                <w:rFonts w:hint="eastAsia" w:ascii="宋体" w:hAnsi="宋体" w:eastAsia="宋体" w:cs="宋体"/>
                <w:kern w:val="0"/>
                <w:sz w:val="24"/>
                <w:szCs w:val="24"/>
              </w:rPr>
              <w:t>在团队配备2名中级工程师的基础条件之上，每多提供一名城市交通专业、视觉设计、景观设计专业（三个专业之一）中级工程师得0.5分。满分2分。</w:t>
            </w:r>
          </w:p>
        </w:tc>
      </w:tr>
    </w:tbl>
    <w:p>
      <w:pPr>
        <w:widowControl/>
        <w:spacing w:before="100" w:beforeAutospacing="1" w:after="100" w:afterAutospacing="1"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宋体"/>
          <w:kern w:val="0"/>
          <w:sz w:val="24"/>
          <w:szCs w:val="24"/>
        </w:rPr>
        <w:t>20%</w:t>
      </w:r>
      <w:r>
        <w:rPr>
          <w:rFonts w:ascii="宋体" w:hAnsi="宋体" w:eastAsia="宋体" w:cs="宋体"/>
          <w:kern w:val="0"/>
          <w:sz w:val="24"/>
          <w:szCs w:val="24"/>
        </w:rPr>
        <w:t>（含</w:t>
      </w:r>
      <w:r>
        <w:rPr>
          <w:rFonts w:ascii="Calibri" w:hAnsi="Calibri" w:eastAsia="宋体" w:cs="宋体"/>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宋体"/>
          <w:kern w:val="0"/>
          <w:sz w:val="24"/>
          <w:szCs w:val="24"/>
        </w:rPr>
        <w:t>20%-50%</w:t>
      </w:r>
      <w:r>
        <w:rPr>
          <w:rFonts w:ascii="宋体" w:hAnsi="宋体" w:eastAsia="宋体" w:cs="宋体"/>
          <w:kern w:val="0"/>
          <w:sz w:val="24"/>
          <w:szCs w:val="24"/>
        </w:rPr>
        <w:t>（含</w:t>
      </w:r>
      <w:r>
        <w:rPr>
          <w:rFonts w:ascii="Calibri" w:hAnsi="Calibri" w:eastAsia="宋体" w:cs="宋体"/>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宋体"/>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8%</w:t>
      </w:r>
      <w:r>
        <w:rPr>
          <w:rFonts w:ascii="宋体" w:hAnsi="宋体" w:eastAsia="宋体" w:cs="宋体"/>
          <w:kern w:val="0"/>
          <w:sz w:val="24"/>
          <w:szCs w:val="24"/>
        </w:rPr>
        <w:t>的加分。</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（4）中标候选人排列规则顺序如下：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宋体"/>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宋体"/>
          <w:kern w:val="0"/>
          <w:sz w:val="24"/>
          <w:szCs w:val="24"/>
        </w:rPr>
        <w:t>FA</w:t>
      </w:r>
      <w:r>
        <w:rPr>
          <w:rFonts w:ascii="宋体" w:hAnsi="宋体" w:eastAsia="宋体" w:cs="宋体"/>
          <w:kern w:val="0"/>
          <w:sz w:val="24"/>
          <w:szCs w:val="24"/>
        </w:rPr>
        <w:t xml:space="preserve">）相同的，按照评标价（即价格扣除后的投标报价）由低到高顺序排列。 </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宋体"/>
          <w:kern w:val="0"/>
          <w:sz w:val="24"/>
          <w:szCs w:val="24"/>
        </w:rPr>
        <w:t>FA</w:t>
      </w:r>
      <w:r>
        <w:rPr>
          <w:rFonts w:ascii="宋体" w:hAnsi="宋体" w:eastAsia="宋体" w:cs="宋体"/>
          <w:kern w:val="0"/>
          <w:sz w:val="24"/>
          <w:szCs w:val="24"/>
        </w:rPr>
        <w:t xml:space="preserve">）且评标价（即价格扣除后的投标报价）相同的并列。 </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8、其他规定</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8.4其他：无。</w:t>
      </w:r>
    </w:p>
    <w:p>
      <w:pPr>
        <w:widowControl/>
        <w:spacing w:before="75" w:after="75" w:line="360" w:lineRule="auto"/>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hint="eastAsia" w:ascii="宋体" w:hAnsi="宋体" w:eastAsia="宋体" w:cs="宋体"/>
          <w:b/>
          <w:bCs/>
          <w:kern w:val="0"/>
          <w:sz w:val="32"/>
        </w:rPr>
      </w:pPr>
      <w:r>
        <w:rPr>
          <w:rFonts w:hint="eastAsia" w:ascii="宋体" w:hAnsi="宋体" w:eastAsia="宋体" w:cs="宋体"/>
          <w:b/>
          <w:bCs/>
          <w:kern w:val="0"/>
          <w:sz w:val="32"/>
        </w:rPr>
        <w:br w:type="page"/>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第五章   招标内容及要求</w:t>
      </w:r>
    </w:p>
    <w:p>
      <w:pPr>
        <w:widowControl/>
        <w:spacing w:before="75" w:after="75" w:line="360" w:lineRule="auto"/>
        <w:jc w:val="left"/>
        <w:outlineLvl w:val="0"/>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before="75" w:after="75" w:line="360" w:lineRule="auto"/>
        <w:ind w:firstLine="480" w:firstLineChars="200"/>
        <w:jc w:val="left"/>
        <w:rPr>
          <w:rFonts w:ascii="宋体" w:hAnsi="宋体" w:eastAsia="宋体" w:cs="宋体"/>
          <w:kern w:val="0"/>
          <w:sz w:val="24"/>
          <w:szCs w:val="24"/>
        </w:rPr>
      </w:pPr>
      <w:r>
        <w:rPr>
          <w:rFonts w:hint="eastAsia" w:ascii="宋体" w:hAnsi="宋体" w:cs="宋体"/>
          <w:sz w:val="24"/>
          <w:szCs w:val="24"/>
        </w:rPr>
        <w:t>根据市政府工作部署，为充分发挥福州市作为省会城市形象带头示范作用，完善城市标识引导系统，开展福州市城市标识系统规划工作。以“综合考虑各类标识，软件硬件系统提升，力求高标准、精准精确、简洁靓丽并彰显福州地域文化”为要求，坚持以人为本，综合运用整体系统、规范有序、精准精确理念，高起点、高标准、高质量打造牢固美观、特色元素、文化品位、彰显个性、简捷便利的城市标识引导系统。对五城区标识引导系统进行综合改造、全面提升，形成布局合理、主次分明、体现福州地域特色的城市标识引导系统。</w:t>
      </w:r>
    </w:p>
    <w:p>
      <w:pPr>
        <w:widowControl/>
        <w:spacing w:before="75" w:after="75" w:line="360" w:lineRule="auto"/>
        <w:jc w:val="left"/>
        <w:outlineLvl w:val="0"/>
        <w:rPr>
          <w:rFonts w:hint="eastAsia" w:ascii="宋体" w:hAnsi="宋体" w:eastAsia="宋体" w:cs="宋体"/>
          <w:b/>
          <w:bCs/>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（一）规划范围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本规划范围为福州市主城区建成面积</w:t>
      </w:r>
      <w:r>
        <w:rPr>
          <w:rFonts w:ascii="宋体" w:hAnsi="宋体" w:cs="宋体"/>
          <w:sz w:val="24"/>
          <w:szCs w:val="24"/>
        </w:rPr>
        <w:t>约</w:t>
      </w:r>
      <w:r>
        <w:rPr>
          <w:rFonts w:hint="eastAsia" w:ascii="宋体" w:hAnsi="宋体" w:cs="宋体"/>
          <w:sz w:val="24"/>
          <w:szCs w:val="24"/>
        </w:rPr>
        <w:t>2</w:t>
      </w:r>
      <w:r>
        <w:rPr>
          <w:rFonts w:ascii="宋体" w:hAnsi="宋体" w:cs="宋体"/>
          <w:sz w:val="24"/>
          <w:szCs w:val="24"/>
        </w:rPr>
        <w:t>70</w:t>
      </w:r>
      <w:r>
        <w:rPr>
          <w:rFonts w:hint="eastAsia" w:ascii="宋体" w:hAnsi="宋体" w:cs="宋体"/>
          <w:sz w:val="24"/>
          <w:szCs w:val="24"/>
        </w:rPr>
        <w:t>平方公里，含鼓楼</w:t>
      </w:r>
      <w:r>
        <w:rPr>
          <w:rFonts w:ascii="宋体" w:hAnsi="宋体" w:cs="宋体"/>
          <w:sz w:val="24"/>
          <w:szCs w:val="24"/>
        </w:rPr>
        <w:t>、台江、仓山、晋安</w:t>
      </w:r>
      <w:r>
        <w:rPr>
          <w:rFonts w:hint="eastAsia" w:ascii="宋体" w:hAnsi="宋体" w:cs="宋体"/>
          <w:sz w:val="24"/>
          <w:szCs w:val="24"/>
        </w:rPr>
        <w:t>、</w:t>
      </w:r>
      <w:r>
        <w:rPr>
          <w:rFonts w:ascii="宋体" w:hAnsi="宋体" w:cs="宋体"/>
          <w:sz w:val="24"/>
          <w:szCs w:val="24"/>
        </w:rPr>
        <w:t>马尾五城区。</w:t>
      </w:r>
    </w:p>
    <w:p>
      <w:pPr>
        <w:widowControl/>
        <w:spacing w:before="75" w:after="75" w:line="360" w:lineRule="auto"/>
        <w:ind w:firstLine="482" w:firstLineChars="200"/>
        <w:jc w:val="left"/>
        <w:outlineLvl w:val="0"/>
        <w:rPr>
          <w:rFonts w:ascii="宋体" w:hAnsi="宋体" w:cs="宋体"/>
          <w:sz w:val="24"/>
          <w:szCs w:val="24"/>
        </w:rPr>
      </w:pPr>
      <w:r>
        <w:rPr>
          <w:rFonts w:hint="eastAsia" w:ascii="宋体" w:hAnsi="宋体" w:cs="宋体"/>
          <w:b/>
          <w:sz w:val="24"/>
          <w:szCs w:val="24"/>
        </w:rPr>
        <w:t>重点区域：</w:t>
      </w:r>
      <w:r>
        <w:rPr>
          <w:rFonts w:hint="eastAsia" w:ascii="宋体" w:hAnsi="宋体" w:cs="宋体"/>
          <w:sz w:val="24"/>
          <w:szCs w:val="24"/>
        </w:rPr>
        <w:t>1.华林路-五一五四路-上三路、三高路-白马路围合区域；</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2.森林公园、儿童公园和动物园周边区域；</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3.会展岛（含濂水路）</w:t>
      </w:r>
    </w:p>
    <w:p>
      <w:pPr>
        <w:widowControl/>
        <w:spacing w:before="75" w:after="75" w:line="360" w:lineRule="auto"/>
        <w:ind w:firstLine="482" w:firstLineChars="200"/>
        <w:jc w:val="left"/>
        <w:outlineLvl w:val="0"/>
        <w:rPr>
          <w:rFonts w:ascii="宋体" w:hAnsi="宋体" w:cs="宋体"/>
          <w:sz w:val="24"/>
          <w:szCs w:val="24"/>
        </w:rPr>
      </w:pPr>
      <w:r>
        <w:rPr>
          <w:rFonts w:hint="eastAsia" w:ascii="宋体" w:hAnsi="宋体" w:cs="宋体"/>
          <w:b/>
          <w:sz w:val="24"/>
          <w:szCs w:val="24"/>
        </w:rPr>
        <w:t>重点线路：</w:t>
      </w:r>
      <w:r>
        <w:rPr>
          <w:rFonts w:hint="eastAsia" w:ascii="宋体" w:hAnsi="宋体" w:cs="宋体"/>
          <w:sz w:val="24"/>
          <w:szCs w:val="24"/>
        </w:rPr>
        <w:t>1.高速：机场高速、绕城高速（贵新隧道-永丰互通）</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2.快速路：三环路</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3.快速路联接线：五四北路、远洋-国货路、福湾路、妙峰-杨桥路</w:t>
      </w:r>
    </w:p>
    <w:p>
      <w:pPr>
        <w:widowControl/>
        <w:spacing w:before="75" w:after="75" w:line="360" w:lineRule="auto"/>
        <w:ind w:firstLine="482" w:firstLineChars="200"/>
        <w:jc w:val="left"/>
        <w:outlineLvl w:val="0"/>
        <w:rPr>
          <w:rFonts w:ascii="宋体" w:hAnsi="宋体" w:cs="宋体"/>
          <w:sz w:val="24"/>
          <w:szCs w:val="24"/>
        </w:rPr>
      </w:pPr>
      <w:r>
        <w:rPr>
          <w:rFonts w:hint="eastAsia" w:ascii="宋体" w:hAnsi="宋体" w:cs="宋体"/>
          <w:b/>
          <w:sz w:val="24"/>
          <w:szCs w:val="24"/>
        </w:rPr>
        <w:t>片区内干道：</w:t>
      </w:r>
      <w:r>
        <w:rPr>
          <w:rFonts w:hint="eastAsia" w:ascii="宋体" w:hAnsi="宋体" w:cs="宋体"/>
          <w:sz w:val="24"/>
          <w:szCs w:val="24"/>
        </w:rPr>
        <w:t>华林路、杨桥路-东街、乌山-古田路、国货路、南江滨路（鳌峰大桥至乌龙江大桥段）、八一七中轴线、白马路、五一、五四路</w:t>
      </w:r>
    </w:p>
    <w:p>
      <w:pPr>
        <w:widowControl/>
        <w:spacing w:before="75" w:after="75" w:line="360" w:lineRule="auto"/>
        <w:ind w:firstLine="482" w:firstLineChars="200"/>
        <w:jc w:val="left"/>
        <w:outlineLvl w:val="0"/>
        <w:rPr>
          <w:rFonts w:ascii="宋体" w:hAnsi="宋体" w:cs="宋体"/>
          <w:sz w:val="24"/>
          <w:szCs w:val="24"/>
        </w:rPr>
      </w:pPr>
      <w:r>
        <w:rPr>
          <w:rFonts w:hint="eastAsia" w:ascii="宋体" w:hAnsi="宋体" w:cs="宋体"/>
          <w:b/>
          <w:sz w:val="24"/>
          <w:szCs w:val="24"/>
        </w:rPr>
        <w:t>一期示范区：</w:t>
      </w:r>
      <w:r>
        <w:rPr>
          <w:rFonts w:hint="eastAsia" w:ascii="宋体" w:hAnsi="宋体" w:cs="宋体"/>
          <w:sz w:val="24"/>
          <w:szCs w:val="24"/>
        </w:rPr>
        <w:t>湖东路-白马路-乌山、古田路-五一、五四路围合区域；会展岛（含濂水路）</w:t>
      </w:r>
    </w:p>
    <w:p>
      <w:pPr>
        <w:widowControl/>
        <w:spacing w:before="75" w:after="75" w:line="360" w:lineRule="auto"/>
        <w:ind w:firstLine="482" w:firstLineChars="200"/>
        <w:jc w:val="left"/>
        <w:outlineLvl w:val="0"/>
        <w:rPr>
          <w:rFonts w:ascii="宋体" w:hAnsi="宋体" w:cs="宋体"/>
          <w:sz w:val="24"/>
          <w:szCs w:val="24"/>
        </w:rPr>
      </w:pPr>
      <w:r>
        <w:rPr>
          <w:rFonts w:hint="eastAsia" w:ascii="宋体" w:hAnsi="宋体" w:cs="宋体"/>
          <w:b/>
          <w:sz w:val="24"/>
          <w:szCs w:val="24"/>
        </w:rPr>
        <w:t>一期示范段：</w:t>
      </w:r>
      <w:r>
        <w:rPr>
          <w:rFonts w:hint="eastAsia" w:ascii="宋体" w:hAnsi="宋体" w:cs="宋体"/>
          <w:sz w:val="24"/>
          <w:szCs w:val="24"/>
        </w:rPr>
        <w:t>八一七中轴线（鼓屏、八一七路）</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（二）规划编制依据及参考资料</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（1）《中华人民共和国城乡规划法》（2008年）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（2）《福建省实施〈中华人民共和国城乡规划法〉办法》（2011年）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（3）《城市规划编制办法》（2006年）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（4）《福建省城市设计导则（试行）》（2013年）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（5）《福建省城市规划管理技术规定》（2017年）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（6）《福州市城市规划管理技术规定》（2016年）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（7）《福州市城市总体规划（2011-2020年）》（2011年）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（8）《福州市中心城区城市色彩规划》（2013年）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（9）《福州市建筑景观导则》</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（10）城市规划及其他市政、园林、景观等相关规范</w:t>
      </w:r>
    </w:p>
    <w:p>
      <w:pPr>
        <w:widowControl/>
        <w:numPr>
          <w:ilvl w:val="0"/>
          <w:numId w:val="1"/>
        </w:numPr>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方案设计要点</w:t>
      </w:r>
    </w:p>
    <w:p>
      <w:pPr>
        <w:widowControl/>
        <w:spacing w:before="75" w:after="75" w:line="360" w:lineRule="auto"/>
        <w:ind w:firstLine="480" w:firstLineChars="200"/>
        <w:jc w:val="left"/>
        <w:outlineLvl w:val="0"/>
        <w:rPr>
          <w:rFonts w:ascii="宋体" w:hAnsi="宋体" w:cs="宋体"/>
          <w:b/>
          <w:sz w:val="24"/>
          <w:szCs w:val="24"/>
        </w:rPr>
      </w:pPr>
      <w:r>
        <w:rPr>
          <w:rFonts w:hint="eastAsia" w:ascii="宋体" w:hAnsi="宋体" w:cs="宋体"/>
          <w:sz w:val="24"/>
          <w:szCs w:val="24"/>
        </w:rPr>
        <w:t>本项目所指标识引导系统指车行引导系统、人行引导系统、停车引导系统。围绕福州市城市发展目标，</w:t>
      </w:r>
      <w:r>
        <w:rPr>
          <w:rFonts w:hint="eastAsia" w:ascii="宋体" w:hAnsi="宋体" w:cs="宋体"/>
          <w:color w:val="000000" w:themeColor="text1"/>
          <w:sz w:val="24"/>
          <w:szCs w:val="24"/>
        </w:rPr>
        <w:t>计划2019年至2020年</w:t>
      </w:r>
      <w:r>
        <w:rPr>
          <w:rFonts w:hint="eastAsia" w:ascii="宋体" w:hAnsi="宋体" w:cs="宋体"/>
          <w:sz w:val="24"/>
          <w:szCs w:val="24"/>
        </w:rPr>
        <w:t>，在已有城市标识系统的基础上，对城市主要进出城通道及快速路出入口沿线，城市交通枢纽、地铁站点、大型公建、历史街区及历史风貌区、重要医院、省市政府及集中办公区、大型景区及重要公园等周边区域进行标识系统的规划、提升，形成识别性强、指引清晰、层次分明、美观大方的城市标识系统。彰显福州历史文化名城特色，助推福州城市建设品质提升。</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（四）内容及要求</w:t>
      </w:r>
    </w:p>
    <w:p>
      <w:pPr>
        <w:widowControl/>
        <w:spacing w:before="75" w:after="75" w:line="360" w:lineRule="auto"/>
        <w:ind w:firstLine="480" w:firstLineChars="200"/>
        <w:jc w:val="left"/>
        <w:outlineLvl w:val="0"/>
        <w:rPr>
          <w:rFonts w:ascii="宋体" w:hAnsi="宋体" w:cs="宋体"/>
          <w:b/>
          <w:bCs/>
          <w:kern w:val="0"/>
          <w:sz w:val="24"/>
          <w:szCs w:val="24"/>
        </w:rPr>
      </w:pPr>
      <w:r>
        <w:rPr>
          <w:rFonts w:hint="eastAsia" w:ascii="宋体" w:hAnsi="宋体" w:cs="宋体"/>
          <w:sz w:val="24"/>
          <w:szCs w:val="24"/>
        </w:rPr>
        <w:t>本项目分两个阶段。第一阶段（招标阶段）：以完成概念性方案为主，需提供（1）福州市</w:t>
      </w:r>
      <w:r>
        <w:rPr>
          <w:rFonts w:ascii="宋体" w:hAnsi="宋体" w:cs="宋体"/>
          <w:sz w:val="24"/>
          <w:szCs w:val="24"/>
        </w:rPr>
        <w:t>城市标识系统总体规划</w:t>
      </w:r>
      <w:r>
        <w:rPr>
          <w:rFonts w:hint="eastAsia" w:ascii="宋体" w:hAnsi="宋体" w:cs="宋体"/>
          <w:sz w:val="24"/>
          <w:szCs w:val="24"/>
        </w:rPr>
        <w:t>；（2）一期示范区、示范段标识系统详细方案设计（含车行、人行）。第二阶段（中标后）：由市政府评定的第一中标人应在第二阶段对其余入围的投标方案进行优缺点总结分析，取长补短，在适当整合各家方案的基础上，完成深化方案（含总体规划方案、五城区城市标识系统设置导则），并对重点区域、重点线路、片区内干道、一期示范区、示范段进行详细方案设计。</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bCs/>
          <w:kern w:val="0"/>
          <w:sz w:val="24"/>
          <w:szCs w:val="24"/>
        </w:rPr>
        <w:t>★</w:t>
      </w:r>
      <w:r>
        <w:rPr>
          <w:rFonts w:hint="eastAsia" w:ascii="宋体" w:hAnsi="宋体" w:cs="宋体"/>
          <w:b/>
          <w:sz w:val="24"/>
          <w:szCs w:val="24"/>
        </w:rPr>
        <w:t>第一阶段概念性方案：</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1.福州市</w:t>
      </w:r>
      <w:r>
        <w:rPr>
          <w:rFonts w:ascii="宋体" w:hAnsi="宋体" w:cs="宋体"/>
          <w:b/>
          <w:sz w:val="24"/>
          <w:szCs w:val="24"/>
        </w:rPr>
        <w:t>城市标识系统总体规划</w:t>
      </w:r>
      <w:r>
        <w:rPr>
          <w:rFonts w:hint="eastAsia" w:ascii="宋体" w:hAnsi="宋体" w:cs="宋体"/>
          <w:b/>
          <w:sz w:val="24"/>
          <w:szCs w:val="24"/>
        </w:rPr>
        <w:t>主要</w:t>
      </w:r>
      <w:r>
        <w:rPr>
          <w:rFonts w:ascii="宋体" w:hAnsi="宋体" w:cs="宋体"/>
          <w:b/>
          <w:sz w:val="24"/>
          <w:szCs w:val="24"/>
        </w:rPr>
        <w:t>内容应涵盖</w:t>
      </w:r>
      <w:r>
        <w:rPr>
          <w:rFonts w:hint="eastAsia" w:ascii="宋体" w:hAnsi="宋体" w:cs="宋体"/>
          <w:b/>
          <w:sz w:val="24"/>
          <w:szCs w:val="24"/>
        </w:rPr>
        <w:t>但</w:t>
      </w:r>
      <w:r>
        <w:rPr>
          <w:rFonts w:ascii="宋体" w:hAnsi="宋体" w:cs="宋体"/>
          <w:b/>
          <w:sz w:val="24"/>
          <w:szCs w:val="24"/>
        </w:rPr>
        <w:t>不限于</w:t>
      </w:r>
      <w:r>
        <w:rPr>
          <w:rFonts w:hint="eastAsia" w:ascii="宋体" w:hAnsi="宋体" w:cs="宋体"/>
          <w:b/>
          <w:sz w:val="24"/>
          <w:szCs w:val="24"/>
        </w:rPr>
        <w:t>以下：</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（1）规划设计总体说明（目标定位、设计思路等）</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（2）规划理念及优秀案例</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（3）福州市标识系统现状问题分析与研究</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（4）技术路线</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（5）总体目标及总体布局</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（6）改善措施</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（7）城市标识导向信息分类</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（8）资源整合（城市</w:t>
      </w:r>
      <w:r>
        <w:rPr>
          <w:rFonts w:ascii="宋体" w:hAnsi="宋体" w:cs="宋体"/>
          <w:sz w:val="24"/>
          <w:szCs w:val="24"/>
        </w:rPr>
        <w:t>道路杆件与标识系统</w:t>
      </w:r>
      <w:r>
        <w:rPr>
          <w:rFonts w:hint="eastAsia" w:ascii="宋体" w:hAnsi="宋体" w:cs="宋体"/>
          <w:sz w:val="24"/>
          <w:szCs w:val="24"/>
        </w:rPr>
        <w:t>合理</w:t>
      </w:r>
      <w:r>
        <w:rPr>
          <w:rFonts w:ascii="宋体" w:hAnsi="宋体" w:cs="宋体"/>
          <w:sz w:val="24"/>
          <w:szCs w:val="24"/>
        </w:rPr>
        <w:t>整合</w:t>
      </w:r>
      <w:r>
        <w:rPr>
          <w:rFonts w:hint="eastAsia" w:ascii="宋体" w:hAnsi="宋体" w:cs="宋体"/>
          <w:sz w:val="24"/>
          <w:szCs w:val="24"/>
        </w:rPr>
        <w:t>，如“多杆合一”等）</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2.一期示范区、示范段标识系统详细方案设计</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针对</w:t>
      </w:r>
      <w:r>
        <w:rPr>
          <w:rFonts w:hint="eastAsia" w:ascii="宋体" w:hAnsi="宋体" w:cs="宋体"/>
          <w:b/>
          <w:sz w:val="24"/>
          <w:szCs w:val="24"/>
        </w:rPr>
        <w:t>2个示范区</w:t>
      </w:r>
      <w:r>
        <w:rPr>
          <w:rFonts w:hint="eastAsia" w:ascii="宋体" w:hAnsi="宋体" w:cs="宋体"/>
          <w:sz w:val="24"/>
          <w:szCs w:val="24"/>
        </w:rPr>
        <w:t>（湖东路-白马路-古田路-五一路围合区域；会展岛（含濂水路））、</w:t>
      </w:r>
      <w:r>
        <w:rPr>
          <w:rFonts w:hint="eastAsia" w:ascii="宋体" w:hAnsi="宋体" w:cs="宋体"/>
          <w:b/>
          <w:sz w:val="24"/>
          <w:szCs w:val="24"/>
        </w:rPr>
        <w:t>1条示范段</w:t>
      </w:r>
      <w:r>
        <w:rPr>
          <w:rFonts w:hint="eastAsia" w:ascii="宋体" w:hAnsi="宋体" w:cs="宋体"/>
          <w:sz w:val="24"/>
          <w:szCs w:val="24"/>
        </w:rPr>
        <w:t>（八一七路（华林路-古田路段））进行详细方案设计</w:t>
      </w:r>
      <w:r>
        <w:rPr>
          <w:rFonts w:ascii="宋体" w:hAnsi="宋体" w:cs="宋体"/>
          <w:sz w:val="24"/>
          <w:szCs w:val="24"/>
        </w:rPr>
        <w:t>，</w:t>
      </w:r>
      <w:r>
        <w:rPr>
          <w:rFonts w:hint="eastAsia" w:ascii="宋体" w:hAnsi="宋体" w:cs="宋体"/>
          <w:b/>
          <w:sz w:val="24"/>
          <w:szCs w:val="24"/>
        </w:rPr>
        <w:t>成果应涵盖但不限于以下</w:t>
      </w:r>
      <w:r>
        <w:rPr>
          <w:rFonts w:hint="eastAsia" w:ascii="宋体" w:hAnsi="宋体" w:cs="宋体"/>
          <w:sz w:val="24"/>
          <w:szCs w:val="24"/>
        </w:rPr>
        <w:t>：（1）</w:t>
      </w:r>
      <w:r>
        <w:rPr>
          <w:rFonts w:hint="eastAsia" w:cs="仿宋_GB2312" w:asciiTheme="minorEastAsia" w:hAnsiTheme="minorEastAsia"/>
          <w:spacing w:val="6"/>
          <w:sz w:val="24"/>
          <w:szCs w:val="24"/>
        </w:rPr>
        <w:t>3套车行指路导向标识（含旅游标识）版面设计方案（样式）；（2）2套停车引导标识方案（样式）；</w:t>
      </w:r>
      <w:r>
        <w:rPr>
          <w:rFonts w:hint="eastAsia" w:ascii="宋体" w:hAnsi="宋体" w:cs="宋体"/>
          <w:sz w:val="24"/>
          <w:szCs w:val="24"/>
        </w:rPr>
        <w:t>（3）</w:t>
      </w:r>
      <w:r>
        <w:rPr>
          <w:rFonts w:hint="eastAsia" w:ascii="宋体" w:hAnsi="宋体" w:cs="宋体"/>
          <w:b/>
          <w:sz w:val="24"/>
          <w:szCs w:val="24"/>
        </w:rPr>
        <w:t>示范段</w:t>
      </w:r>
      <w:r>
        <w:rPr>
          <w:rFonts w:hint="eastAsia" w:ascii="宋体" w:hAnsi="宋体" w:cs="宋体"/>
          <w:sz w:val="24"/>
          <w:szCs w:val="24"/>
        </w:rPr>
        <w:t>车行指路导向标识详细设计方案（需包含</w:t>
      </w:r>
      <w:r>
        <w:rPr>
          <w:rFonts w:hint="eastAsia" w:cs="仿宋_GB2312" w:asciiTheme="minorEastAsia" w:hAnsiTheme="minorEastAsia"/>
          <w:spacing w:val="6"/>
          <w:sz w:val="24"/>
          <w:szCs w:val="24"/>
        </w:rPr>
        <w:t>详细指引信息</w:t>
      </w:r>
      <w:r>
        <w:rPr>
          <w:rFonts w:hint="eastAsia" w:ascii="宋体" w:hAnsi="宋体" w:cs="宋体"/>
          <w:sz w:val="24"/>
          <w:szCs w:val="24"/>
        </w:rPr>
        <w:t>）；（4）1套人行标识点位布局</w:t>
      </w:r>
      <w:r>
        <w:rPr>
          <w:rFonts w:ascii="宋体" w:hAnsi="宋体" w:cs="宋体"/>
          <w:sz w:val="24"/>
          <w:szCs w:val="24"/>
        </w:rPr>
        <w:t>图</w:t>
      </w:r>
      <w:r>
        <w:rPr>
          <w:rFonts w:hint="eastAsia" w:ascii="宋体" w:hAnsi="宋体" w:cs="宋体"/>
          <w:sz w:val="24"/>
          <w:szCs w:val="24"/>
        </w:rPr>
        <w:t>；</w:t>
      </w:r>
      <w:r>
        <w:rPr>
          <w:rFonts w:hint="eastAsia" w:cs="仿宋_GB2312" w:asciiTheme="minorEastAsia" w:hAnsiTheme="minorEastAsia"/>
          <w:spacing w:val="6"/>
          <w:sz w:val="24"/>
          <w:szCs w:val="24"/>
        </w:rPr>
        <w:t>（5）</w:t>
      </w:r>
      <w:r>
        <w:rPr>
          <w:rFonts w:hint="eastAsia" w:cs="仿宋_GB2312" w:asciiTheme="minorEastAsia" w:hAnsiTheme="minorEastAsia"/>
          <w:b/>
          <w:spacing w:val="6"/>
          <w:sz w:val="24"/>
          <w:szCs w:val="24"/>
        </w:rPr>
        <w:t>示范区、示范段</w:t>
      </w:r>
      <w:r>
        <w:rPr>
          <w:rFonts w:hint="eastAsia" w:cs="仿宋_GB2312" w:asciiTheme="minorEastAsia" w:hAnsiTheme="minorEastAsia"/>
          <w:spacing w:val="6"/>
          <w:sz w:val="24"/>
          <w:szCs w:val="24"/>
        </w:rPr>
        <w:t>人行导向标识（含路名牌）详细设计方案（</w:t>
      </w:r>
      <w:r>
        <w:rPr>
          <w:rFonts w:hint="eastAsia" w:ascii="宋体" w:hAnsi="宋体" w:cs="宋体"/>
          <w:sz w:val="24"/>
          <w:szCs w:val="24"/>
        </w:rPr>
        <w:t>需包含</w:t>
      </w:r>
      <w:r>
        <w:rPr>
          <w:rFonts w:hint="eastAsia" w:cs="仿宋_GB2312" w:asciiTheme="minorEastAsia" w:hAnsiTheme="minorEastAsia"/>
          <w:spacing w:val="6"/>
          <w:sz w:val="24"/>
          <w:szCs w:val="24"/>
        </w:rPr>
        <w:t>详细指引信息）。</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第二阶段深化方案：</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由市政府评定的第一中标人应吸收其余入围单位规划成果，对第一阶段成果进行细化完善，最终提交：（1）福州市</w:t>
      </w:r>
      <w:r>
        <w:rPr>
          <w:rFonts w:ascii="宋体" w:hAnsi="宋体" w:cs="宋体"/>
          <w:sz w:val="24"/>
          <w:szCs w:val="24"/>
        </w:rPr>
        <w:t>城市标识系统总体规划</w:t>
      </w:r>
      <w:r>
        <w:rPr>
          <w:rFonts w:hint="eastAsia" w:ascii="宋体" w:hAnsi="宋体" w:cs="宋体"/>
          <w:sz w:val="24"/>
          <w:szCs w:val="24"/>
        </w:rPr>
        <w:t>；（2）重点区域、重点线路、片区内干道、一期示范区、示范段详细设计方案；（3）五城区城市标识系统设置导则。</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福州市</w:t>
      </w:r>
      <w:r>
        <w:rPr>
          <w:rFonts w:ascii="宋体" w:hAnsi="宋体" w:cs="宋体"/>
          <w:b/>
          <w:sz w:val="24"/>
          <w:szCs w:val="24"/>
        </w:rPr>
        <w:t>城市标识系统</w:t>
      </w:r>
      <w:r>
        <w:rPr>
          <w:rFonts w:hint="eastAsia" w:ascii="宋体" w:hAnsi="宋体" w:cs="宋体"/>
          <w:b/>
          <w:sz w:val="24"/>
          <w:szCs w:val="24"/>
        </w:rPr>
        <w:t>设置导则内容应涵盖但不限于以下：</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（1）总则</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（2）编制依据</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（3）专业术语</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（4）标识样式</w:t>
      </w:r>
      <w:r>
        <w:rPr>
          <w:rFonts w:ascii="宋体" w:hAnsi="宋体" w:cs="宋体"/>
          <w:sz w:val="24"/>
          <w:szCs w:val="24"/>
        </w:rPr>
        <w:t>和选用</w:t>
      </w:r>
      <w:r>
        <w:rPr>
          <w:rFonts w:hint="eastAsia" w:ascii="宋体" w:hAnsi="宋体" w:cs="宋体"/>
          <w:sz w:val="24"/>
          <w:szCs w:val="24"/>
        </w:rPr>
        <w:t>（分类）</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按照</w:t>
      </w:r>
      <w:r>
        <w:rPr>
          <w:rFonts w:ascii="宋体" w:hAnsi="宋体" w:cs="宋体"/>
          <w:sz w:val="24"/>
          <w:szCs w:val="24"/>
        </w:rPr>
        <w:t>分类对标志样式和选用</w:t>
      </w:r>
      <w:r>
        <w:rPr>
          <w:rFonts w:hint="eastAsia" w:ascii="宋体" w:hAnsi="宋体" w:cs="宋体"/>
          <w:sz w:val="24"/>
          <w:szCs w:val="24"/>
        </w:rPr>
        <w:t>进行</w:t>
      </w:r>
      <w:r>
        <w:rPr>
          <w:rFonts w:ascii="宋体" w:hAnsi="宋体" w:cs="宋体"/>
          <w:sz w:val="24"/>
          <w:szCs w:val="24"/>
        </w:rPr>
        <w:t>规定，</w:t>
      </w:r>
      <w:r>
        <w:rPr>
          <w:rFonts w:hint="eastAsia" w:ascii="宋体" w:hAnsi="宋体" w:cs="宋体"/>
          <w:sz w:val="24"/>
          <w:szCs w:val="24"/>
        </w:rPr>
        <w:t>如</w:t>
      </w:r>
      <w:r>
        <w:rPr>
          <w:rFonts w:ascii="宋体" w:hAnsi="宋体" w:cs="宋体"/>
          <w:sz w:val="24"/>
          <w:szCs w:val="24"/>
        </w:rPr>
        <w:t>：</w:t>
      </w:r>
      <w:r>
        <w:rPr>
          <w:rFonts w:hint="eastAsia" w:ascii="宋体" w:hAnsi="宋体" w:cs="宋体"/>
          <w:sz w:val="24"/>
          <w:szCs w:val="24"/>
        </w:rPr>
        <w:t>城市基础公共信息导向系统的旅游专线标识设置要求、公共信息提示警示及禁止标识设置要求、市政设施复合标识设置要求，特定区域公共信息导向系统的景区导向标识设置要求、大型公共服务设施导向标识设置要求等。</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（5）标识</w:t>
      </w:r>
      <w:r>
        <w:rPr>
          <w:rFonts w:ascii="宋体" w:hAnsi="宋体" w:cs="宋体"/>
          <w:sz w:val="24"/>
          <w:szCs w:val="24"/>
        </w:rPr>
        <w:t>安装和设置</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（6）标识</w:t>
      </w:r>
      <w:r>
        <w:rPr>
          <w:rFonts w:ascii="宋体" w:hAnsi="宋体" w:cs="宋体"/>
          <w:sz w:val="24"/>
          <w:szCs w:val="24"/>
        </w:rPr>
        <w:t>验收标准</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（7）标识</w:t>
      </w:r>
      <w:r>
        <w:rPr>
          <w:rFonts w:ascii="宋体" w:hAnsi="宋体" w:cs="宋体"/>
          <w:sz w:val="24"/>
          <w:szCs w:val="24"/>
        </w:rPr>
        <w:t>养护和维护</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（8）附录</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（五）成果形式</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1.第一阶段成果图纸装订成册，提交不少于10套。（入围单位提供）</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2.电子文件：全部设计成果均应制作成电子文件，文本文件采用Microsoft Word、Powerpoint或pdf格式文件。设计图形文件采用Auto CAD的dwg格式文件、cdr等格式。电脑渲染图等图片文件，应为JPG格式。提交以上电子文件1套。</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3.不低于一分钟的视频短片，中文配音。</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（六）时间安排</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1、投标阶段完成第一阶段概念性方案；</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2、市政府确认中标单位之日起45个日历日内完成第二阶段深化方案，提交最终成果（具体以合同约定为准）； </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3、第二阶段深化方案周期配合采购人时间进行调整。</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（七）项目技术团队要求</w:t>
      </w:r>
    </w:p>
    <w:p>
      <w:pPr>
        <w:widowControl/>
        <w:spacing w:before="75" w:after="75" w:line="360" w:lineRule="auto"/>
        <w:ind w:firstLine="482" w:firstLineChars="200"/>
        <w:jc w:val="left"/>
        <w:outlineLvl w:val="0"/>
        <w:rPr>
          <w:rFonts w:ascii="宋体" w:hAnsi="宋体" w:cs="宋体"/>
          <w:b/>
          <w:color w:val="FF0000"/>
          <w:sz w:val="24"/>
          <w:szCs w:val="24"/>
        </w:rPr>
      </w:pPr>
      <w:r>
        <w:rPr>
          <w:rFonts w:hint="eastAsia" w:ascii="宋体" w:hAnsi="宋体" w:cs="宋体"/>
          <w:b/>
          <w:sz w:val="24"/>
          <w:szCs w:val="24"/>
        </w:rPr>
        <w:t>1、本项目技术团队须包含项目负责人1名，其余配备人员6名及以上。</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1.1项目负责人响应</w:t>
      </w:r>
    </w:p>
    <w:p>
      <w:pPr>
        <w:spacing w:line="360" w:lineRule="auto"/>
        <w:ind w:firstLine="506" w:firstLineChars="200"/>
        <w:rPr>
          <w:rFonts w:cs="仿宋_GB2312" w:asciiTheme="minorEastAsia" w:hAnsiTheme="minorEastAsia"/>
          <w:b/>
          <w:spacing w:val="6"/>
          <w:sz w:val="24"/>
          <w:szCs w:val="24"/>
        </w:rPr>
      </w:pPr>
      <w:r>
        <w:rPr>
          <w:rFonts w:hint="eastAsia" w:cs="仿宋_GB2312" w:asciiTheme="minorEastAsia" w:hAnsiTheme="minorEastAsia"/>
          <w:b/>
          <w:spacing w:val="6"/>
          <w:sz w:val="24"/>
          <w:szCs w:val="24"/>
        </w:rPr>
        <w:t>项目负责人应具备合格有效地国家注册规划师或城市交通专业、视觉设计、景观设计专业（三个专业之一）的高级工程师职称，项目负责人做好项目技术把关、汇报等工作。</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1.2项目技术团队响应</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在采购人提前通知重大会议安排的情况下，最终中标单位项目负责人应保证亲自出席会议，并参加汇报（若确实因重大事项无法出席，可委托技术团队执行负责人员代为汇报）。设计团队人员【配备人员总数至少6名以上（含6名），其中中级工程师(或以上)至少2名（含2名）以上】，应保证至少累计有25日常驻福州开展工作。</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（八）项目服务要求</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bCs/>
          <w:kern w:val="0"/>
          <w:sz w:val="24"/>
          <w:szCs w:val="24"/>
        </w:rPr>
        <w:t>★</w:t>
      </w:r>
      <w:r>
        <w:rPr>
          <w:rFonts w:hint="eastAsia" w:ascii="宋体" w:hAnsi="宋体" w:cs="宋体"/>
          <w:b/>
          <w:sz w:val="24"/>
          <w:szCs w:val="24"/>
        </w:rPr>
        <w:t>1.本项目采取入围方式选定供应商，入围家数为四家（如不足四家则入围三家）。入围的四家供应商可在接到采购人通知后7个日历日内对其设计方案进行进一步的深化设计，以深化后的设计方案提交市政府评定最终名次，第一名将作为中标人。同时采购人分别以人民币40万元、30万元、10万元的补偿标准购买第二、三、四名团队的设计方案所有权，并由市政府评定的第一中标人吸纳第二、三、四名团队的设计方案，深化完善规划设计成果。</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bCs/>
          <w:kern w:val="0"/>
          <w:sz w:val="24"/>
          <w:szCs w:val="24"/>
        </w:rPr>
        <w:t>★</w:t>
      </w:r>
      <w:r>
        <w:rPr>
          <w:rFonts w:hint="eastAsia" w:ascii="宋体" w:hAnsi="宋体" w:cs="宋体"/>
          <w:b/>
          <w:sz w:val="24"/>
          <w:szCs w:val="24"/>
        </w:rPr>
        <w:t>2. 各投标人须承诺：如若入围，同意采购人购买其设计方案所有权，并接受招标文件规定的购买设计方案所有权的补偿标准；同时同意本项目中标人吸纳采用其设计方案。未对此项进行承诺者，以无效标处理。</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3.若采购人对时间进度有特殊要求时，中标人应配合调整，根据采购人时间要求配合调整汇报时间。</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4.项目现场勘察、设计、讨论所有涉及的差旅费、文本装订等费用由中标人自行承担。</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5.中标人的主创设计师或项目负责人应参加采购人组织的现场踏勘、技术交流会、成果汇报会及评审会等，现场调研及成果汇报等赴榕时间不少于15日，按要求提供相关书面及电子材料，并根据会议要求修改完善设计成果。</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6.中标人应协助指导标识项目建设，做好相关建设项目咨询工作。</w:t>
      </w:r>
    </w:p>
    <w:p>
      <w:pPr>
        <w:widowControl/>
        <w:spacing w:before="75" w:after="75" w:line="360" w:lineRule="auto"/>
        <w:ind w:firstLine="482" w:firstLineChars="200"/>
        <w:jc w:val="left"/>
        <w:outlineLvl w:val="0"/>
        <w:rPr>
          <w:rFonts w:ascii="宋体" w:hAnsi="宋体" w:cs="宋体"/>
          <w:b/>
          <w:sz w:val="24"/>
          <w:szCs w:val="24"/>
        </w:rPr>
      </w:pPr>
      <w:r>
        <w:rPr>
          <w:rFonts w:hint="eastAsia" w:ascii="宋体" w:hAnsi="宋体" w:cs="宋体"/>
          <w:b/>
          <w:sz w:val="24"/>
          <w:szCs w:val="24"/>
        </w:rPr>
        <w:t>（九）验收</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1.验收由采购单位或采购单位授权代表负责，若发现未符合招标文件及合同相关条款要求，需立即进行整改，并通过最终验收。</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2.验收依据是国家有关规范、投标文件、招标文件和项目相关文件。</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3.交付采购单位验收前投标人应先进行自检。</w:t>
      </w:r>
    </w:p>
    <w:p>
      <w:pPr>
        <w:widowControl/>
        <w:spacing w:before="75" w:after="75" w:line="360" w:lineRule="auto"/>
        <w:ind w:firstLine="480" w:firstLineChars="200"/>
        <w:jc w:val="left"/>
        <w:outlineLvl w:val="0"/>
        <w:rPr>
          <w:rFonts w:ascii="宋体" w:hAnsi="宋体" w:cs="宋体"/>
          <w:sz w:val="24"/>
          <w:szCs w:val="24"/>
        </w:rPr>
      </w:pPr>
      <w:r>
        <w:rPr>
          <w:rFonts w:hint="eastAsia" w:ascii="宋体" w:hAnsi="宋体" w:cs="宋体"/>
          <w:sz w:val="24"/>
          <w:szCs w:val="24"/>
        </w:rPr>
        <w:t>4.若按有关法规需由政府部门进行验收，中标人负责组织验收并负责相关费用。</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5.中标人提供的设计服务实际情况与投标文件响应不符，或未按合同或招标文件规定的服务要求服务时的，采购人有权拒绝其服务，由此造成的直接损失和间接损失由中标人赔偿；</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6.本招标文件未明确的其它约定事项或条款，待采购人与中标人签订合同时，由双方协商订立。</w:t>
      </w:r>
    </w:p>
    <w:p>
      <w:pPr>
        <w:widowControl/>
        <w:spacing w:before="75" w:after="75"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（十）违约责任</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1.因中标人原因造成采购合同无法按时签订，视为中标人违约，中标人违约对采购人造成的损失的，需另行支付相应的赔偿。</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2.在签定采购合同之后，中标人要求解除合同的，视为中标人违约，采购人有权没收其履约保证金，如履约保证金不能弥补中标人违约对采购人造成的损失的，中标人还需另行支付相应的赔偿。</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3.中标人所提供的服务不符合招标文件或合同要求的，采购人有权拒绝其服务；同时，中标人应向采购人偿付该中标总金额1</w:t>
      </w:r>
      <w:r>
        <w:rPr>
          <w:rFonts w:ascii="宋体" w:hAnsi="宋体" w:cs="宋体"/>
          <w:sz w:val="24"/>
          <w:szCs w:val="24"/>
        </w:rPr>
        <w:t>%</w:t>
      </w:r>
      <w:r>
        <w:rPr>
          <w:rFonts w:hint="eastAsia" w:ascii="宋体" w:hAnsi="宋体" w:cs="宋体"/>
          <w:sz w:val="24"/>
          <w:szCs w:val="24"/>
        </w:rPr>
        <w:t>的违约金，且涉及到的部分合同条款终止履行。</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4.中标人不能交付服务的，中标人应向采购人偿付该中标总金额1</w:t>
      </w:r>
      <w:r>
        <w:rPr>
          <w:rFonts w:ascii="宋体" w:hAnsi="宋体" w:cs="宋体"/>
          <w:sz w:val="24"/>
          <w:szCs w:val="24"/>
        </w:rPr>
        <w:t>%</w:t>
      </w:r>
      <w:r>
        <w:rPr>
          <w:rFonts w:hint="eastAsia" w:ascii="宋体" w:hAnsi="宋体" w:cs="宋体"/>
          <w:sz w:val="24"/>
          <w:szCs w:val="24"/>
        </w:rPr>
        <w:t>的违约金，且涉及到的部分合同条款终止履行。</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5.在明确违约责任后，中标人应在接到书面通知书起七天内支付违约金、赔偿金等。</w:t>
      </w:r>
    </w:p>
    <w:p>
      <w:pPr>
        <w:widowControl/>
        <w:spacing w:before="75" w:after="75" w:line="360" w:lineRule="auto"/>
        <w:ind w:firstLine="480" w:firstLineChars="200"/>
        <w:jc w:val="left"/>
        <w:outlineLvl w:val="0"/>
        <w:rPr>
          <w:rFonts w:ascii="宋体" w:cs="Times New Roman"/>
          <w:sz w:val="24"/>
          <w:szCs w:val="24"/>
        </w:rPr>
      </w:pPr>
      <w:r>
        <w:rPr>
          <w:rFonts w:hint="eastAsia" w:ascii="宋体" w:hAnsi="宋体" w:cs="宋体"/>
          <w:sz w:val="24"/>
          <w:szCs w:val="24"/>
        </w:rPr>
        <w:t>6.采购人与中标人如因履行投标文件内容发生争议，应通过友好协商解决。协商不成，向福州仲裁委员会提交仲裁申请。</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line="360" w:lineRule="auto"/>
        <w:jc w:val="left"/>
        <w:rPr>
          <w:rFonts w:ascii="宋体" w:hAnsi="宋体" w:cs="宋体"/>
          <w:b/>
          <w:bCs/>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1、交付地点：福建省福州市仓山区南江滨大道193号东部办公区4号楼5楼 </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2、交付时间：自合同签订之日起45个日历日内完成第二阶段深化方案，提交最终成果（具体以合同约定为准）。</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3、交付条件：经采购人验收合格后，具体按合同执行。</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w:t>
      </w:r>
      <w:r>
        <w:rPr>
          <w:rFonts w:hint="eastAsia" w:ascii="宋体" w:hAnsi="宋体" w:eastAsia="宋体" w:cs="宋体"/>
          <w:b/>
          <w:bCs/>
          <w:kern w:val="0"/>
          <w:sz w:val="24"/>
          <w:szCs w:val="24"/>
        </w:rPr>
        <w:t>否。</w:t>
      </w:r>
    </w:p>
    <w:p>
      <w:pPr>
        <w:widowControl/>
        <w:spacing w:before="75" w:after="75" w:line="360" w:lineRule="auto"/>
        <w:jc w:val="left"/>
        <w:rPr>
          <w:rFonts w:ascii="宋体" w:hAnsi="宋体" w:eastAsia="宋体" w:cs="宋体"/>
          <w:kern w:val="0"/>
          <w:sz w:val="24"/>
          <w:szCs w:val="24"/>
        </w:rPr>
      </w:pP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 xml:space="preserve">6、验收方式数据表格 </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按招标文件及合同要求及通过市政府审议。</w:t>
            </w:r>
          </w:p>
        </w:tc>
      </w:tr>
    </w:tbl>
    <w:p>
      <w:pPr>
        <w:widowControl/>
        <w:spacing w:before="75" w:after="75" w:line="360" w:lineRule="auto"/>
        <w:jc w:val="left"/>
        <w:rPr>
          <w:rFonts w:ascii="宋体" w:hAnsi="宋体" w:eastAsia="宋体" w:cs="宋体"/>
          <w:b/>
          <w:bCs/>
          <w:kern w:val="0"/>
          <w:sz w:val="24"/>
          <w:szCs w:val="24"/>
        </w:rPr>
      </w:pPr>
      <w:r>
        <w:rPr>
          <w:rFonts w:ascii="宋体" w:hAnsi="宋体" w:eastAsia="宋体" w:cs="宋体"/>
          <w:b/>
          <w:bCs/>
          <w:kern w:val="0"/>
          <w:sz w:val="24"/>
          <w:szCs w:val="24"/>
        </w:rPr>
        <w:t xml:space="preserve">7、支付方式数据表格 </w:t>
      </w:r>
    </w:p>
    <w:tbl>
      <w:tblPr>
        <w:tblStyle w:val="1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30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签订合同,提交初步成果。</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50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完成评审成果，通过专家评审及市政府审议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3</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20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通过财政评审中心审结。</w:t>
            </w:r>
          </w:p>
        </w:tc>
      </w:tr>
    </w:tbl>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before="75" w:after="75" w:line="360" w:lineRule="auto"/>
        <w:jc w:val="left"/>
        <w:rPr>
          <w:rFonts w:ascii="宋体" w:cs="Times New Roman"/>
          <w:kern w:val="0"/>
          <w:sz w:val="24"/>
          <w:szCs w:val="24"/>
        </w:rPr>
      </w:pPr>
      <w:r>
        <w:rPr>
          <w:rFonts w:hint="eastAsia" w:ascii="宋体" w:hAnsi="宋体" w:cs="宋体"/>
          <w:kern w:val="0"/>
          <w:sz w:val="24"/>
          <w:szCs w:val="24"/>
        </w:rPr>
        <w:t>1、参与解说人员需出示身份证原件，由专家进行核实，解说时间不超过</w:t>
      </w:r>
      <w:r>
        <w:rPr>
          <w:rFonts w:hint="eastAsia" w:ascii="宋体" w:hAnsi="宋体" w:cs="宋体"/>
          <w:b/>
          <w:kern w:val="0"/>
          <w:sz w:val="24"/>
          <w:szCs w:val="24"/>
        </w:rPr>
        <w:t>25分钟</w:t>
      </w:r>
      <w:r>
        <w:rPr>
          <w:rFonts w:hint="eastAsia" w:ascii="宋体" w:hAnsi="宋体" w:cs="宋体"/>
          <w:kern w:val="0"/>
          <w:sz w:val="24"/>
          <w:szCs w:val="24"/>
        </w:rPr>
        <w:t>（不包含“</w:t>
      </w:r>
      <w:r>
        <w:rPr>
          <w:rFonts w:hint="eastAsia" w:asciiTheme="minorEastAsia" w:hAnsiTheme="minorEastAsia"/>
          <w:bCs/>
          <w:color w:val="000000" w:themeColor="text1"/>
          <w:sz w:val="24"/>
          <w:szCs w:val="24"/>
        </w:rPr>
        <w:t>项目视频概况”短片演示时间</w:t>
      </w:r>
      <w:r>
        <w:rPr>
          <w:rFonts w:hint="eastAsia" w:ascii="宋体" w:hAnsi="宋体" w:cs="宋体"/>
          <w:kern w:val="0"/>
          <w:sz w:val="24"/>
          <w:szCs w:val="24"/>
        </w:rPr>
        <w:t>）,时间届满必须立即停止演示。招标代理机构仅提供投影设备，进行演示所需的其他设备由投标人自行提供。</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hint="eastAsia" w:ascii="宋体" w:hAnsi="宋体" w:eastAsia="宋体" w:cs="宋体"/>
          <w:b/>
          <w:bCs/>
          <w:kern w:val="0"/>
          <w:sz w:val="32"/>
        </w:rPr>
      </w:pPr>
      <w:r>
        <w:rPr>
          <w:rFonts w:hint="eastAsia" w:ascii="宋体" w:hAnsi="宋体" w:eastAsia="宋体" w:cs="宋体"/>
          <w:b/>
          <w:bCs/>
          <w:kern w:val="0"/>
          <w:sz w:val="32"/>
        </w:rPr>
        <w:br w:type="page"/>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第六章   政府采购合同（参考文本）</w:t>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line="360" w:lineRule="auto"/>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spacing w:before="75" w:after="75" w:line="360" w:lineRule="auto"/>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line="360" w:lineRule="auto"/>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宋体"/>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宋体"/>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line="360" w:lineRule="auto"/>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line="360" w:lineRule="auto"/>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jc w:val="center"/>
        <w:rPr>
          <w:rFonts w:hint="eastAsia" w:ascii="宋体" w:hAnsi="宋体" w:eastAsia="宋体" w:cs="宋体"/>
          <w:b/>
          <w:bCs/>
          <w:kern w:val="0"/>
          <w:sz w:val="32"/>
        </w:rPr>
      </w:pPr>
      <w:r>
        <w:rPr>
          <w:rFonts w:hint="eastAsia" w:ascii="宋体" w:hAnsi="宋体" w:eastAsia="宋体" w:cs="宋体"/>
          <w:b/>
          <w:bCs/>
          <w:kern w:val="0"/>
          <w:sz w:val="32"/>
        </w:rPr>
        <w:br w:type="page"/>
      </w:r>
    </w:p>
    <w:p>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32"/>
        </w:rPr>
        <w:t>第七章   投标文件格式</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宋体"/>
          <w:kern w:val="0"/>
          <w:sz w:val="24"/>
          <w:szCs w:val="24"/>
        </w:rPr>
        <w:t>1.3</w:t>
      </w:r>
      <w:r>
        <w:rPr>
          <w:rFonts w:ascii="宋体" w:hAnsi="宋体" w:eastAsia="宋体" w:cs="宋体"/>
          <w:kern w:val="0"/>
          <w:sz w:val="24"/>
          <w:szCs w:val="24"/>
        </w:rPr>
        <w:t>条第（</w:t>
      </w:r>
      <w:r>
        <w:rPr>
          <w:rFonts w:ascii="Calibri" w:hAnsi="Calibri" w:eastAsia="宋体" w:cs="宋体"/>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宋体"/>
          <w:kern w:val="0"/>
          <w:sz w:val="24"/>
          <w:szCs w:val="24"/>
        </w:rPr>
        <w:t>2.1</w:t>
      </w:r>
      <w:r>
        <w:rPr>
          <w:rFonts w:ascii="宋体" w:hAnsi="宋体" w:eastAsia="宋体" w:cs="宋体"/>
          <w:kern w:val="0"/>
          <w:sz w:val="24"/>
          <w:szCs w:val="24"/>
        </w:rPr>
        <w:t>条规定提交相应的全部资料。</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before="100" w:beforeAutospacing="1" w:after="100" w:afterAutospacing="1" w:line="360" w:lineRule="auto"/>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jc w:val="center"/>
        <w:rPr>
          <w:rFonts w:hint="eastAsia" w:ascii="宋体" w:hAnsi="宋体" w:eastAsia="宋体" w:cs="宋体"/>
          <w:b/>
          <w:bCs/>
          <w:kern w:val="0"/>
          <w:sz w:val="29"/>
        </w:rPr>
      </w:pPr>
      <w:r>
        <w:rPr>
          <w:rFonts w:hint="eastAsia" w:ascii="宋体" w:hAnsi="宋体" w:eastAsia="宋体" w:cs="宋体"/>
          <w:b/>
          <w:bCs/>
          <w:kern w:val="0"/>
          <w:sz w:val="29"/>
        </w:rPr>
        <w:br w:type="page"/>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（资格及资信证明部分）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sz w:val="29"/>
        </w:rPr>
        <w:t>索引</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rPr>
        <w:t>资格审查不合格</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一、投标函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rPr>
        <w:t>确认：</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1.1所投合同包的投标报价详见“开标一览表”及“投标分项报价表”。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Calibri" w:hAnsi="Calibri" w:eastAsia="宋体" w:cs="宋体"/>
          <w:kern w:val="0"/>
          <w:szCs w:val="21"/>
        </w:rPr>
        <w:t>[</w:t>
      </w:r>
      <w:r>
        <w:rPr>
          <w:rFonts w:ascii="宋体" w:hAnsi="宋体" w:eastAsia="宋体" w:cs="宋体"/>
          <w:kern w:val="0"/>
          <w:szCs w:val="21"/>
        </w:rPr>
        <w:t>包括但不限于：有关附件（若有）、澄清或修改（若有）等</w:t>
      </w:r>
      <w:r>
        <w:rPr>
          <w:rFonts w:ascii="Calibri" w:hAnsi="Calibri" w:eastAsia="宋体" w:cs="宋体"/>
          <w:kern w:val="0"/>
          <w:szCs w:val="21"/>
        </w:rPr>
        <w:t>]</w:t>
      </w:r>
      <w:r>
        <w:rPr>
          <w:rFonts w:ascii="宋体" w:hAnsi="宋体" w:eastAsia="宋体" w:cs="宋体"/>
          <w:kern w:val="0"/>
          <w:szCs w:val="21"/>
        </w:rPr>
        <w:t>，并自行承担因对全部招标文件理解不正确或误解而产生的相应后果和责任。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rPr>
        <w:t>承诺及声明：</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rPr>
        <w:t>投标无效。</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二、投标人的资格及资信证明文件</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二-1单位负责人授权书（若有）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授权方</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接受授权方</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b/>
                <w:bCs/>
                <w:kern w:val="0"/>
              </w:rPr>
              <w:t>要求：真实有效且内容完整、清晰、整洁。</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b/>
                <w:bCs/>
                <w:kern w:val="0"/>
              </w:rPr>
              <w:t> </w:t>
            </w:r>
          </w:p>
        </w:tc>
      </w:tr>
    </w:tbl>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rPr>
        <w:t>法定代表人</w:t>
      </w:r>
      <w:r>
        <w:rPr>
          <w:rFonts w:ascii="宋体" w:hAnsi="宋体" w:eastAsia="宋体" w:cs="宋体"/>
          <w:kern w:val="0"/>
          <w:szCs w:val="21"/>
        </w:rPr>
        <w:t>，即与实际提交的“营业执照等证明文件”载明的一致。</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t xml:space="preserve">5、纸质投标文件正本中的本授权书（若有）应为原件。 </w:t>
      </w:r>
    </w:p>
    <w:p>
      <w:pPr>
        <w:widowControl/>
        <w:spacing w:before="100" w:beforeAutospacing="1" w:after="100" w:afterAutospacing="1" w:line="360" w:lineRule="auto"/>
        <w:jc w:val="left"/>
        <w:rPr>
          <w:rFonts w:ascii="宋体" w:hAnsi="宋体" w:eastAsia="宋体" w:cs="宋体"/>
          <w:kern w:val="0"/>
          <w:sz w:val="24"/>
          <w:szCs w:val="24"/>
        </w:rPr>
      </w:pP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二-2营业执照等证明文件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1、请投标人按照实际情况编制填写，在相应的（）中打“√”并选择相应的“□”（若有）后，再按照本格式的要求提供相应证明材料的复印件。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3、投标人提供的相应证明材料复印件均应符合：内容完整、清晰、整洁，并由投标人加盖其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二-3财务状况报告（财务报告、或资信证明、或投标担保函）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）投标人提供投标担保函的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2.1成立年限满</w:t>
      </w:r>
      <w:r>
        <w:rPr>
          <w:rFonts w:ascii="Calibri" w:hAnsi="Calibri" w:eastAsia="宋体" w:cs="宋体"/>
          <w:kern w:val="0"/>
          <w:szCs w:val="21"/>
        </w:rPr>
        <w:t>1</w:t>
      </w:r>
      <w:r>
        <w:rPr>
          <w:rFonts w:ascii="宋体" w:hAnsi="宋体" w:eastAsia="宋体" w:cs="宋体"/>
          <w:kern w:val="0"/>
          <w:szCs w:val="21"/>
        </w:rPr>
        <w:t>年及以上的投标人，提供经审计的上一年度的年度财务报告。</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Calibri" w:hAnsi="Calibri" w:eastAsia="宋体" w:cs="宋体"/>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Calibri" w:hAnsi="Calibri" w:eastAsia="宋体" w:cs="宋体"/>
          <w:kern w:val="0"/>
          <w:szCs w:val="21"/>
        </w:rPr>
        <w:t>[2012]124</w:t>
      </w:r>
      <w:r>
        <w:rPr>
          <w:rFonts w:ascii="宋体" w:hAnsi="宋体" w:eastAsia="宋体" w:cs="宋体"/>
          <w:kern w:val="0"/>
          <w:szCs w:val="21"/>
        </w:rPr>
        <w:t>号）的规定。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rPr>
        <w:t>-4依法缴纳税收证明材料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2、依法免税的投标人</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rPr>
        <w:t>“依法缴纳税收证明材料”</w:t>
      </w:r>
      <w:r>
        <w:rPr>
          <w:rFonts w:ascii="宋体" w:hAnsi="宋体" w:eastAsia="宋体" w:cs="宋体"/>
          <w:kern w:val="0"/>
          <w:szCs w:val="21"/>
        </w:rPr>
        <w:t>有欠缴记录的，视为</w:t>
      </w:r>
      <w:r>
        <w:rPr>
          <w:rFonts w:ascii="宋体" w:hAnsi="宋体" w:eastAsia="宋体" w:cs="宋体"/>
          <w:b/>
          <w:bCs/>
          <w:kern w:val="0"/>
        </w:rPr>
        <w:t>未依法缴纳税收。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二-5依法缴纳社会保障资金证明材料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1、依法缴纳社会保障资金的投标人</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2、依法不需要缴纳社会保障资金的投标人</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2.2投标截止时间的当月成立且已依法缴纳社会保障资金的投标人，提供投标截止时间当月的社会保险凭据复印件。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Calibri" w:hAnsi="Calibri" w:eastAsia="宋体" w:cs="宋体"/>
          <w:kern w:val="0"/>
          <w:szCs w:val="21"/>
        </w:rPr>
        <w:t>/</w:t>
      </w:r>
      <w:r>
        <w:rPr>
          <w:rFonts w:ascii="宋体" w:hAnsi="宋体" w:eastAsia="宋体" w:cs="宋体"/>
          <w:kern w:val="0"/>
          <w:szCs w:val="21"/>
        </w:rPr>
        <w:t>社会保障资金管理机关原因导致其尚未依法缴纳社会保障资金的投标人，提供依法缴纳社会保障资金承诺书原件（格式自拟），该承诺书视同社会保险凭据。</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rPr>
        <w:t>“依法缴纳社会保障资金证明材料”</w:t>
      </w:r>
      <w:r>
        <w:rPr>
          <w:rFonts w:ascii="宋体" w:hAnsi="宋体" w:eastAsia="宋体" w:cs="宋体"/>
          <w:kern w:val="0"/>
          <w:szCs w:val="21"/>
        </w:rPr>
        <w:t>有欠缴记录的，视为</w:t>
      </w:r>
      <w:r>
        <w:rPr>
          <w:rFonts w:ascii="宋体" w:hAnsi="宋体" w:eastAsia="宋体" w:cs="宋体"/>
          <w:b/>
          <w:bCs/>
          <w:kern w:val="0"/>
        </w:rPr>
        <w:t>未依法缴纳社会保障资金。</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kern w:val="0"/>
          <w:szCs w:val="21"/>
        </w:rPr>
      </w:pPr>
      <w:r>
        <w:rPr>
          <w:rFonts w:ascii="Calibri" w:hAnsi="Calibri" w:eastAsia="宋体" w:cs="宋体"/>
          <w:kern w:val="0"/>
          <w:szCs w:val="21"/>
        </w:rPr>
        <w:br w:type="textWrapping"/>
      </w:r>
    </w:p>
    <w:p>
      <w:pPr>
        <w:widowControl/>
        <w:jc w:val="center"/>
        <w:rPr>
          <w:rFonts w:hint="eastAsia" w:ascii="宋体" w:hAnsi="宋体" w:eastAsia="宋体" w:cs="宋体"/>
          <w:kern w:val="0"/>
          <w:szCs w:val="21"/>
        </w:rPr>
      </w:pPr>
      <w:r>
        <w:rPr>
          <w:rFonts w:hint="eastAsia" w:ascii="宋体" w:hAnsi="宋体" w:eastAsia="宋体" w:cs="宋体"/>
          <w:kern w:val="0"/>
          <w:szCs w:val="21"/>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rPr>
        <w:t>-6具备履行合同所必需设备和专业技术能力的声明函（若有）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我方具备履行合同所必需的设备和专业技术能力，否则产生不利后果由我方承担责任。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3、纸质投标文件正本中的本声明函（若有）应为原件。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4、请投标人根据实际情况如实声明，否则</w:t>
      </w:r>
      <w:r>
        <w:rPr>
          <w:rFonts w:ascii="宋体" w:hAnsi="宋体" w:eastAsia="宋体" w:cs="宋体"/>
          <w:b/>
          <w:bCs/>
          <w:kern w:val="0"/>
        </w:rPr>
        <w:t>视为提供虚假材料。</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rPr>
        <w:t>-7参加采购活动前三年内在经营活动中没有重大违法记录书面声明</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参加采购活动前三年内，我方在经营活动中没有重大违法记录，也无行贿犯罪记录，否则产生不利后果由我方承担责任。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2、纸质投标文件正本中的本声明应为原件。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rPr>
        <w:t>视为提供虚假材料。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rPr>
        <w:t>-8信用记录查询结果</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Calibri" w:hAnsi="Calibri" w:eastAsia="宋体" w:cs="宋体"/>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投标人应在招标文件要求的截止时点前分别通过“信用中国”网站（</w:t>
      </w:r>
      <w:r>
        <w:rPr>
          <w:rFonts w:ascii="Calibri" w:hAnsi="Calibri" w:eastAsia="宋体" w:cs="宋体"/>
          <w:kern w:val="0"/>
          <w:szCs w:val="21"/>
        </w:rPr>
        <w:t>www.creditchina.gov.cn</w:t>
      </w:r>
      <w:r>
        <w:rPr>
          <w:rFonts w:ascii="宋体" w:hAnsi="宋体" w:eastAsia="宋体" w:cs="宋体"/>
          <w:kern w:val="0"/>
          <w:szCs w:val="21"/>
        </w:rPr>
        <w:t>）、中国政府采购网（</w:t>
      </w:r>
      <w:r>
        <w:rPr>
          <w:rFonts w:ascii="Calibri" w:hAnsi="Calibri" w:eastAsia="宋体" w:cs="宋体"/>
          <w:kern w:val="0"/>
          <w:szCs w:val="21"/>
        </w:rPr>
        <w:t>www.ccgp.gov.cn</w:t>
      </w:r>
      <w:r>
        <w:rPr>
          <w:rFonts w:ascii="宋体" w:hAnsi="宋体" w:eastAsia="宋体" w:cs="宋体"/>
          <w:kern w:val="0"/>
          <w:szCs w:val="21"/>
        </w:rPr>
        <w:t>）查询并打印相应的信用记录，投标人提供的查询结果应为其通过上述网站获取的信用信息查询结果原始页面的打印件（或截图）。</w:t>
      </w:r>
    </w:p>
    <w:p>
      <w:pPr>
        <w:widowControl/>
        <w:spacing w:before="100" w:beforeAutospacing="1" w:after="100" w:afterAutospacing="1" w:line="360" w:lineRule="auto"/>
        <w:jc w:val="left"/>
        <w:rPr>
          <w:rFonts w:ascii="宋体" w:hAnsi="宋体" w:eastAsia="宋体" w:cs="宋体"/>
          <w:kern w:val="0"/>
          <w:sz w:val="24"/>
          <w:szCs w:val="24"/>
        </w:rPr>
      </w:pP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Calibri" w:hAnsi="Calibri" w:eastAsia="宋体" w:cs="宋体"/>
          <w:b/>
          <w:bCs/>
          <w:kern w:val="0"/>
          <w:szCs w:val="21"/>
        </w:rPr>
      </w:pP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二-9检察机关行贿犯罪档案查询结果告知函</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1、未提供行贿犯罪档案查询结果或查询结果表明投标人有行贿犯罪记录的，</w:t>
      </w:r>
      <w:r>
        <w:rPr>
          <w:rFonts w:ascii="宋体" w:hAnsi="宋体" w:eastAsia="宋体" w:cs="宋体"/>
          <w:b/>
          <w:bCs/>
          <w:kern w:val="0"/>
        </w:rPr>
        <w:t>投标无效。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2、若从检察机关指定网站下载打印或截图告知函，则告知函应为从前述指定网站获取的查询结果原始页面的打印件（或截图），否则</w:t>
      </w:r>
      <w:r>
        <w:rPr>
          <w:rFonts w:ascii="宋体" w:hAnsi="宋体" w:eastAsia="宋体" w:cs="宋体"/>
          <w:b/>
          <w:bCs/>
          <w:kern w:val="0"/>
        </w:rPr>
        <w:t>投标无效。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3、告知函应在有效期内且内容完整、清晰、整洁，否则</w:t>
      </w:r>
      <w:r>
        <w:rPr>
          <w:rFonts w:ascii="宋体" w:hAnsi="宋体" w:eastAsia="宋体" w:cs="宋体"/>
          <w:b/>
          <w:bCs/>
          <w:kern w:val="0"/>
        </w:rPr>
        <w:t>投标无效。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4、有效期内的告知函复印件（含扫描件）及符合招标文件第七章规定的打印件（或截图），无论内容中是否注明“复印件无效”，</w:t>
      </w:r>
      <w:r>
        <w:rPr>
          <w:rFonts w:ascii="宋体" w:hAnsi="宋体" w:eastAsia="宋体" w:cs="宋体"/>
          <w:b/>
          <w:bCs/>
          <w:kern w:val="0"/>
        </w:rPr>
        <w:t>均视同有效。</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line="360" w:lineRule="auto"/>
        <w:jc w:val="center"/>
        <w:rPr>
          <w:rFonts w:hint="eastAsia" w:ascii="宋体" w:hAnsi="宋体" w:eastAsia="宋体" w:cs="宋体"/>
          <w:b/>
          <w:bCs/>
          <w:kern w:val="0"/>
        </w:rPr>
      </w:pPr>
      <w:r>
        <w:rPr>
          <w:rFonts w:ascii="宋体" w:hAnsi="宋体"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二-10联合体协议（若有）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 xml:space="preserve">（填写“项目名称”）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xml:space="preserve"> （填写“工作及义务的具体内容”） </w:t>
      </w:r>
      <w:r>
        <w:rPr>
          <w:rFonts w:ascii="宋体" w:hAnsi="宋体" w:eastAsia="宋体" w:cs="宋体"/>
          <w:kern w:val="0"/>
          <w:szCs w:val="21"/>
        </w:rPr>
        <w:t>；</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xml:space="preserve"> （填写“工作及义务的具体内容”） </w:t>
      </w:r>
      <w:r>
        <w:rPr>
          <w:rFonts w:ascii="宋体" w:hAnsi="宋体" w:eastAsia="宋体" w:cs="宋体"/>
          <w:kern w:val="0"/>
          <w:szCs w:val="21"/>
        </w:rPr>
        <w:t>；</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Calibri" w:hAnsi="Calibri" w:eastAsia="宋体" w:cs="宋体"/>
          <w:kern w:val="0"/>
          <w:szCs w:val="21"/>
        </w:rPr>
        <w:t>……</w:t>
      </w:r>
      <w:r>
        <w:rPr>
          <w:rFonts w:ascii="宋体" w:hAnsi="宋体" w:eastAsia="宋体" w:cs="宋体"/>
          <w:kern w:val="0"/>
          <w:szCs w:val="21"/>
        </w:rPr>
        <w:t>。</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二、联合体各方约定：</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3、</w:t>
      </w:r>
      <w:r>
        <w:rPr>
          <w:rFonts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Cs w:val="21"/>
          <w:u w:val="single"/>
        </w:rPr>
        <w:t>（应填写“其中一方的全称”，如：联合体确定以成员一的条件参与商务部分的评标，则填写“成员一的全称”…；否则填写“无”）</w:t>
      </w:r>
      <w:r>
        <w:rPr>
          <w:rFonts w:ascii="宋体" w:hAnsi="宋体" w:eastAsia="宋体" w:cs="宋体"/>
          <w:color w:val="000000"/>
          <w:kern w:val="0"/>
          <w:szCs w:val="21"/>
        </w:rPr>
        <w:t>的条件参与商务部分的评标。</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四、本协议自签署之日起生效，政府采购合同履行完毕后自动失效。</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成员**：</w:t>
      </w:r>
      <w:r>
        <w:rPr>
          <w:rFonts w:ascii="宋体" w:hAnsi="宋体" w:eastAsia="宋体" w:cs="宋体"/>
          <w:kern w:val="0"/>
          <w:szCs w:val="21"/>
          <w:u w:val="single"/>
        </w:rPr>
        <w:t>（全称并加盖成员**的单位公章）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2、本协议由委托代理人签字或盖章的，应按照本章载明的格式提供“单位负责人授权书”。</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3、纸质投标文件正本中的本协议（若有）应为原件。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二-11中小企业声明函</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（专门面向中小企业或小型、微型企业适用，若有）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xml:space="preserve"> （填写“项目名称”） </w:t>
      </w:r>
      <w:r>
        <w:rPr>
          <w:rFonts w:ascii="宋体" w:hAnsi="宋体" w:eastAsia="宋体" w:cs="宋体"/>
          <w:kern w:val="0"/>
          <w:szCs w:val="21"/>
        </w:rPr>
        <w:t>项目采购活动，其中：</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5、纸质投标文件正本中的本声明函（若有）应为原件。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6、若《中小企业声明函》（包括本格式第</w:t>
      </w:r>
      <w:r>
        <w:rPr>
          <w:rFonts w:ascii="Calibri" w:hAnsi="Calibri" w:eastAsia="宋体" w:cs="宋体"/>
          <w:kern w:val="0"/>
          <w:szCs w:val="21"/>
        </w:rPr>
        <w:t>3</w:t>
      </w:r>
      <w:r>
        <w:rPr>
          <w:rFonts w:ascii="宋体" w:hAnsi="宋体" w:eastAsia="宋体" w:cs="宋体"/>
          <w:kern w:val="0"/>
          <w:szCs w:val="21"/>
        </w:rPr>
        <w:t>、</w:t>
      </w:r>
      <w:r>
        <w:rPr>
          <w:rFonts w:ascii="Calibri" w:hAnsi="Calibri" w:eastAsia="宋体" w:cs="宋体"/>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rPr>
        <w:t>视为提供虚假材料。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hint="eastAsia" w:ascii="宋体" w:hAnsi="宋体" w:eastAsia="宋体" w:cs="宋体"/>
          <w:kern w:val="0"/>
          <w:szCs w:val="21"/>
        </w:rPr>
      </w:pPr>
      <w:r>
        <w:rPr>
          <w:rFonts w:ascii="Calibri" w:hAnsi="Calibri" w:eastAsia="宋体" w:cs="宋体"/>
          <w:kern w:val="0"/>
          <w:szCs w:val="21"/>
        </w:rPr>
        <w:br w:type="textWrapping"/>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附：</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残疾人福利性单位声明函</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（专门面向中小企业或小型、微型企业适用，若有）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line="360" w:lineRule="auto"/>
        <w:ind w:firstLine="420"/>
        <w:jc w:val="left"/>
        <w:outlineLvl w:val="0"/>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rPr>
        <w:t>视为提供虚假材料。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二-12其他资格证明文件（若有）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二</w:t>
      </w:r>
      <w:r>
        <w:rPr>
          <w:rFonts w:ascii="宋体" w:hAnsi="宋体" w:eastAsia="宋体" w:cs="宋体"/>
          <w:b/>
          <w:bCs/>
          <w:kern w:val="0"/>
        </w:rPr>
        <w:t>-12-</w:t>
      </w:r>
      <w:r>
        <w:rPr>
          <w:rFonts w:hint="eastAsia" w:ascii="宋体" w:hAnsi="宋体" w:eastAsia="宋体" w:cs="宋体"/>
          <w:b/>
          <w:bCs/>
          <w:kern w:val="0"/>
        </w:rPr>
        <w:t>①</w:t>
      </w:r>
      <w:r>
        <w:rPr>
          <w:rFonts w:ascii="宋体" w:hAnsi="宋体" w:eastAsia="宋体" w:cs="宋体"/>
          <w:b/>
          <w:bCs/>
          <w:kern w:val="0"/>
        </w:rPr>
        <w:t>具备履行合同所必需设备和专业技术能力专项证明材料（若有）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二-12-</w:t>
      </w:r>
      <w:r>
        <w:rPr>
          <w:rFonts w:hint="eastAsia" w:ascii="宋体" w:hAnsi="宋体" w:eastAsia="宋体" w:cs="宋体"/>
          <w:b/>
          <w:bCs/>
          <w:kern w:val="0"/>
        </w:rPr>
        <w:t>②</w:t>
      </w:r>
      <w:r>
        <w:rPr>
          <w:rFonts w:ascii="宋体" w:hAnsi="宋体" w:eastAsia="宋体" w:cs="宋体"/>
          <w:b/>
          <w:bCs/>
          <w:kern w:val="0"/>
        </w:rPr>
        <w:t>招标文件规定的其他资格证明文件（若有）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三</w:t>
      </w:r>
      <w:r>
        <w:rPr>
          <w:rFonts w:ascii="宋体" w:hAnsi="宋体" w:eastAsia="宋体" w:cs="宋体"/>
          <w:b/>
          <w:bCs/>
          <w:kern w:val="0"/>
        </w:rPr>
        <w:t>、投标保证金</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（报价部分）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三、招标文件规定的价格扣除证明材料（若有）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四、招标文件规定的加分证明材料（若有）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一、开标一览表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380"/>
        <w:gridCol w:w="3828"/>
        <w:gridCol w:w="1134"/>
        <w:gridCol w:w="217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3828"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投标报价</w:t>
            </w:r>
          </w:p>
        </w:tc>
        <w:tc>
          <w:tcPr>
            <w:tcW w:w="1134"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投标保证金</w:t>
            </w:r>
          </w:p>
        </w:tc>
        <w:tc>
          <w:tcPr>
            <w:tcW w:w="2178"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382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113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2178" w:type="dxa"/>
            <w:vMerge w:val="restart"/>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382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113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2178" w:type="dxa"/>
            <w:vMerge w:val="continue"/>
            <w:tcBorders>
              <w:top w:val="nil"/>
              <w:left w:val="nil"/>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1.1投标人应按照本表格式填写所投的合同包的“投标报价”。</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1.2本表中列示的“合同包”应与《投标分项报价表》中列示的“合同包”保持一致，即：若本表中列示的“合同包”为“</w:t>
      </w:r>
      <w:r>
        <w:rPr>
          <w:rFonts w:ascii="Calibri" w:hAnsi="Calibri" w:eastAsia="宋体" w:cs="宋体"/>
          <w:kern w:val="0"/>
          <w:szCs w:val="21"/>
        </w:rPr>
        <w:t>1</w:t>
      </w:r>
      <w:r>
        <w:rPr>
          <w:rFonts w:ascii="宋体" w:hAnsi="宋体" w:eastAsia="宋体" w:cs="宋体"/>
          <w:kern w:val="0"/>
          <w:szCs w:val="21"/>
        </w:rPr>
        <w:t>”时，《投标分项报价表》中列示的“合同包”亦应为“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二、投标分项报价表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招标编号：</w:t>
      </w:r>
      <w:r>
        <w:rPr>
          <w:rFonts w:ascii="宋体" w:hAnsi="宋体" w:eastAsia="宋体" w:cs="宋体"/>
          <w:kern w:val="0"/>
          <w:szCs w:val="21"/>
          <w:u w:val="single"/>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21"/>
        <w:gridCol w:w="958"/>
        <w:gridCol w:w="1556"/>
        <w:gridCol w:w="1272"/>
        <w:gridCol w:w="853"/>
        <w:gridCol w:w="989"/>
        <w:gridCol w:w="569"/>
        <w:gridCol w:w="1093"/>
        <w:gridCol w:w="80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958"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1556"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投标标的</w:t>
            </w:r>
          </w:p>
        </w:tc>
        <w:tc>
          <w:tcPr>
            <w:tcW w:w="1272"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规格</w:t>
            </w:r>
          </w:p>
        </w:tc>
        <w:tc>
          <w:tcPr>
            <w:tcW w:w="853"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来源地</w:t>
            </w:r>
          </w:p>
        </w:tc>
        <w:tc>
          <w:tcPr>
            <w:tcW w:w="989"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569"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数量</w:t>
            </w:r>
          </w:p>
        </w:tc>
        <w:tc>
          <w:tcPr>
            <w:tcW w:w="1093"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809"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95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155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27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85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98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56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09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0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95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55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27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85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98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56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09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0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95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55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27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85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98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56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093"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09"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宋体"/>
          <w:kern w:val="0"/>
          <w:szCs w:val="21"/>
        </w:rPr>
        <w:t>1</w:t>
      </w:r>
      <w:r>
        <w:rPr>
          <w:rFonts w:ascii="宋体" w:hAnsi="宋体" w:eastAsia="宋体" w:cs="宋体"/>
          <w:kern w:val="0"/>
          <w:szCs w:val="21"/>
        </w:rPr>
        <w:t>”时，本表中列示的“合同包”亦应为“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rPr>
        <w:t>“来源地”</w:t>
      </w:r>
      <w:r>
        <w:rPr>
          <w:rFonts w:ascii="宋体" w:hAnsi="宋体" w:eastAsia="宋体" w:cs="宋体"/>
          <w:kern w:val="0"/>
          <w:szCs w:val="21"/>
        </w:rPr>
        <w:t>应填写货物的原产地。</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rPr>
        <w:t>“来源地”</w:t>
      </w:r>
      <w:r>
        <w:rPr>
          <w:rFonts w:ascii="宋体" w:hAnsi="宋体" w:eastAsia="宋体" w:cs="宋体"/>
          <w:kern w:val="0"/>
          <w:szCs w:val="21"/>
        </w:rPr>
        <w:t>应填写服务提供者的所在地。</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1.4同一合同包中，</w:t>
      </w:r>
      <w:r>
        <w:rPr>
          <w:rFonts w:ascii="宋体" w:hAnsi="宋体" w:eastAsia="宋体" w:cs="宋体"/>
          <w:b/>
          <w:bCs/>
          <w:kern w:val="0"/>
        </w:rPr>
        <w:t>“单价（现场）”</w:t>
      </w:r>
      <w:r>
        <w:rPr>
          <w:rFonts w:ascii="宋体" w:hAnsi="宋体" w:eastAsia="宋体" w:cs="宋体"/>
          <w:kern w:val="0"/>
          <w:szCs w:val="21"/>
        </w:rPr>
        <w:t>×</w:t>
      </w:r>
      <w:r>
        <w:rPr>
          <w:rFonts w:ascii="宋体" w:hAnsi="宋体" w:eastAsia="宋体" w:cs="宋体"/>
          <w:b/>
          <w:bCs/>
          <w:kern w:val="0"/>
        </w:rPr>
        <w:t>“数量”</w:t>
      </w:r>
      <w:r>
        <w:rPr>
          <w:rFonts w:ascii="宋体" w:hAnsi="宋体" w:eastAsia="宋体" w:cs="宋体"/>
          <w:kern w:val="0"/>
          <w:szCs w:val="21"/>
        </w:rPr>
        <w:t>=</w:t>
      </w:r>
      <w:r>
        <w:rPr>
          <w:rFonts w:ascii="宋体" w:hAnsi="宋体" w:eastAsia="宋体" w:cs="宋体"/>
          <w:b/>
          <w:bCs/>
          <w:kern w:val="0"/>
        </w:rPr>
        <w:t>“总价（现场）”</w:t>
      </w:r>
      <w:r>
        <w:rPr>
          <w:rFonts w:ascii="宋体" w:hAnsi="宋体" w:eastAsia="宋体" w:cs="宋体"/>
          <w:kern w:val="0"/>
          <w:szCs w:val="21"/>
        </w:rPr>
        <w:t>，全部品目号</w:t>
      </w:r>
      <w:r>
        <w:rPr>
          <w:rFonts w:ascii="宋体" w:hAnsi="宋体" w:eastAsia="宋体" w:cs="宋体"/>
          <w:b/>
          <w:bCs/>
          <w:kern w:val="0"/>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rPr>
        <w:t>“投标总价”</w:t>
      </w:r>
      <w:r>
        <w:rPr>
          <w:rFonts w:ascii="宋体" w:hAnsi="宋体" w:eastAsia="宋体" w:cs="宋体"/>
          <w:kern w:val="0"/>
          <w:szCs w:val="21"/>
        </w:rPr>
        <w:t>保持一致。</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rPr>
        <w:t>“备注”</w:t>
      </w:r>
      <w:r>
        <w:rPr>
          <w:rFonts w:ascii="宋体" w:hAnsi="宋体" w:eastAsia="宋体" w:cs="宋体"/>
          <w:kern w:val="0"/>
          <w:szCs w:val="21"/>
        </w:rPr>
        <w:t>项下填写。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三、招标文件规定的价格扣除证明材料（若有）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三-1优先类节能产品、环境标志产品价格扣除证明材料（若有）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三-1-</w:t>
      </w:r>
      <w:r>
        <w:rPr>
          <w:rFonts w:hint="eastAsia" w:ascii="宋体" w:hAnsi="宋体" w:eastAsia="宋体" w:cs="宋体"/>
          <w:b/>
          <w:bCs/>
          <w:kern w:val="0"/>
        </w:rPr>
        <w:t>①</w:t>
      </w:r>
      <w:r>
        <w:rPr>
          <w:rFonts w:ascii="宋体" w:hAnsi="宋体" w:eastAsia="宋体" w:cs="宋体"/>
          <w:b/>
          <w:bCs/>
          <w:kern w:val="0"/>
        </w:rPr>
        <w:t>优先类节能产品、环境标志产品统计表（价格扣除适用，若有）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3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3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rPr>
        <w:t>“三</w:t>
      </w:r>
      <w:r>
        <w:rPr>
          <w:rFonts w:ascii="Calibri" w:hAnsi="Calibri" w:eastAsia="宋体" w:cs="宋体"/>
          <w:b/>
          <w:bCs/>
          <w:kern w:val="0"/>
        </w:rPr>
        <w:t>-1-</w:t>
      </w:r>
      <w:r>
        <w:rPr>
          <w:rFonts w:hint="eastAsia" w:ascii="宋体" w:hAnsi="宋体" w:eastAsia="宋体" w:cs="宋体"/>
          <w:b/>
          <w:bCs/>
          <w:kern w:val="0"/>
        </w:rPr>
        <w:t>②</w:t>
      </w:r>
      <w:r>
        <w:rPr>
          <w:rFonts w:ascii="宋体" w:hAnsi="宋体" w:eastAsia="宋体" w:cs="宋体"/>
          <w:b/>
          <w:bCs/>
          <w:kern w:val="0"/>
        </w:rPr>
        <w:t>优先类节能产品、环境标志产品证明材料（价格扣除适用，若有）”。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rPr>
        <w:t>视为提供虚假材料。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b/>
          <w:bCs/>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三-1-</w:t>
      </w:r>
      <w:r>
        <w:rPr>
          <w:rFonts w:hint="eastAsia" w:ascii="宋体" w:hAnsi="宋体" w:eastAsia="宋体" w:cs="宋体"/>
          <w:b/>
          <w:bCs/>
          <w:kern w:val="0"/>
        </w:rPr>
        <w:t>②</w:t>
      </w:r>
      <w:r>
        <w:rPr>
          <w:rFonts w:ascii="宋体" w:hAnsi="宋体" w:eastAsia="宋体" w:cs="宋体"/>
          <w:b/>
          <w:bCs/>
          <w:kern w:val="0"/>
        </w:rPr>
        <w:t>优先类节能产品、环境标志产品证明材料（价格扣除适用，若有）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b/>
          <w:bCs/>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三-2小型、微型企业产品等价格扣除证明材料（若有）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三-2-</w:t>
      </w:r>
      <w:r>
        <w:rPr>
          <w:rFonts w:hint="eastAsia" w:ascii="宋体" w:hAnsi="宋体" w:eastAsia="宋体" w:cs="宋体"/>
          <w:b/>
          <w:bCs/>
          <w:kern w:val="0"/>
        </w:rPr>
        <w:t>①</w:t>
      </w:r>
      <w:r>
        <w:rPr>
          <w:rFonts w:ascii="宋体" w:hAnsi="宋体" w:eastAsia="宋体" w:cs="宋体"/>
          <w:b/>
          <w:bCs/>
          <w:kern w:val="0"/>
        </w:rPr>
        <w:t>小型、微型企业产品等统计表（价格扣除适用，若有）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7305" w:type="dxa"/>
            <w:gridSpan w:val="7"/>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108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采购标的</w:t>
            </w:r>
          </w:p>
        </w:tc>
        <w:tc>
          <w:tcPr>
            <w:tcW w:w="9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70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数量</w:t>
            </w:r>
          </w:p>
        </w:tc>
        <w:tc>
          <w:tcPr>
            <w:tcW w:w="9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114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制造厂商</w:t>
            </w:r>
          </w:p>
        </w:tc>
        <w:tc>
          <w:tcPr>
            <w:tcW w:w="118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108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70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18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108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70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18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c>
          <w:tcPr>
            <w:tcW w:w="7305" w:type="dxa"/>
            <w:gridSpan w:val="7"/>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注意：1、对小型、微型企业产品等计算价格扣除时，只依据投标文件</w:t>
      </w:r>
      <w:r>
        <w:rPr>
          <w:rFonts w:ascii="宋体" w:hAnsi="宋体" w:eastAsia="宋体" w:cs="宋体"/>
          <w:b/>
          <w:bCs/>
          <w:kern w:val="0"/>
        </w:rPr>
        <w:t>“三</w:t>
      </w:r>
      <w:r>
        <w:rPr>
          <w:rFonts w:ascii="Calibri" w:hAnsi="Calibri" w:eastAsia="宋体" w:cs="宋体"/>
          <w:b/>
          <w:bCs/>
          <w:kern w:val="0"/>
        </w:rPr>
        <w:t>-2-</w:t>
      </w:r>
      <w:r>
        <w:rPr>
          <w:rFonts w:hint="eastAsia" w:ascii="宋体" w:hAnsi="宋体" w:eastAsia="宋体" w:cs="宋体"/>
          <w:b/>
          <w:bCs/>
          <w:kern w:val="0"/>
        </w:rPr>
        <w:t>②</w:t>
      </w:r>
      <w:r>
        <w:rPr>
          <w:rFonts w:ascii="宋体" w:hAnsi="宋体" w:eastAsia="宋体" w:cs="宋体"/>
          <w:b/>
          <w:bCs/>
          <w:kern w:val="0"/>
        </w:rPr>
        <w:t>中小企业声明函（价格扣除适用，若有）”及“三</w:t>
      </w:r>
      <w:r>
        <w:rPr>
          <w:rFonts w:ascii="Calibri" w:hAnsi="Calibri" w:eastAsia="宋体" w:cs="宋体"/>
          <w:b/>
          <w:bCs/>
          <w:kern w:val="0"/>
        </w:rPr>
        <w:t>-2-</w:t>
      </w:r>
      <w:r>
        <w:rPr>
          <w:rFonts w:hint="eastAsia" w:ascii="宋体" w:hAnsi="宋体" w:eastAsia="宋体" w:cs="宋体"/>
          <w:b/>
          <w:bCs/>
          <w:kern w:val="0"/>
        </w:rPr>
        <w:t>③</w:t>
      </w:r>
      <w:r>
        <w:rPr>
          <w:rFonts w:ascii="宋体" w:hAnsi="宋体" w:eastAsia="宋体" w:cs="宋体"/>
          <w:b/>
          <w:bCs/>
          <w:kern w:val="0"/>
        </w:rPr>
        <w:t>小型、微型企业等证明材料（价格扣除适用，若有）”。</w:t>
      </w:r>
      <w:r>
        <w:rPr>
          <w:rFonts w:ascii="宋体" w:hAnsi="宋体" w:eastAsia="宋体" w:cs="宋体"/>
          <w:kern w:val="0"/>
          <w:szCs w:val="21"/>
        </w:rPr>
        <w:t>2、本表以合同包为单位，不同合同包请分别填写；同一合同包请按照其品目号顺序分别填写。3、</w:t>
      </w:r>
      <w:r>
        <w:rPr>
          <w:rFonts w:ascii="宋体" w:hAnsi="宋体" w:eastAsia="宋体" w:cs="宋体"/>
          <w:b/>
          <w:bCs/>
          <w:kern w:val="0"/>
        </w:rPr>
        <w:t>除本表第4条规定情形外，小型、微型企业（含监狱企业）承担的工程或提供的服务不享受价格扣除。</w:t>
      </w: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rPr>
        <w:t>可享受价格扣除。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5、纸质投标文件正本中的本表（若有）应为原件。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三-2-</w:t>
      </w:r>
      <w:r>
        <w:rPr>
          <w:rFonts w:hint="eastAsia" w:ascii="宋体" w:hAnsi="宋体" w:eastAsia="宋体" w:cs="宋体"/>
          <w:b/>
          <w:bCs/>
          <w:kern w:val="0"/>
        </w:rPr>
        <w:t>②</w:t>
      </w:r>
      <w:r>
        <w:rPr>
          <w:rFonts w:ascii="宋体" w:hAnsi="宋体" w:eastAsia="宋体" w:cs="宋体"/>
          <w:b/>
          <w:bCs/>
          <w:kern w:val="0"/>
        </w:rPr>
        <w:t>中小企业声明函（价格扣除适用，若有）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xml:space="preserve"> （填写“项目名称”） </w:t>
      </w:r>
      <w:r>
        <w:rPr>
          <w:rFonts w:ascii="宋体" w:hAnsi="宋体" w:eastAsia="宋体" w:cs="宋体"/>
          <w:kern w:val="0"/>
          <w:szCs w:val="21"/>
        </w:rPr>
        <w:t>项目采购活动，其中：</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3、若《中小企业声明函》内容不真实，</w:t>
      </w:r>
      <w:r>
        <w:rPr>
          <w:rFonts w:ascii="宋体" w:hAnsi="宋体" w:eastAsia="宋体" w:cs="宋体"/>
          <w:b/>
          <w:bCs/>
          <w:kern w:val="0"/>
        </w:rPr>
        <w:t>视为提供虚假材料</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4、投标人为监狱企业的，可不填写本声明函。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5、投标人为残疾人福利性单位的，可不填写本声明函。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6、纸质投标文件正本中的本声明函（若有）应为原件。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三-2-</w:t>
      </w:r>
      <w:r>
        <w:rPr>
          <w:rFonts w:hint="eastAsia" w:ascii="宋体" w:hAnsi="宋体" w:eastAsia="宋体" w:cs="宋体"/>
          <w:b/>
          <w:bCs/>
          <w:kern w:val="0"/>
        </w:rPr>
        <w:t>③</w:t>
      </w:r>
      <w:r>
        <w:rPr>
          <w:rFonts w:ascii="宋体" w:hAnsi="宋体" w:eastAsia="宋体" w:cs="宋体"/>
          <w:b/>
          <w:bCs/>
          <w:kern w:val="0"/>
        </w:rPr>
        <w:t>小型、微型企业等证明材料（价格扣除适用，若有）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hint="eastAsia" w:ascii="宋体" w:hAnsi="宋体" w:eastAsia="宋体" w:cs="宋体"/>
          <w:kern w:val="0"/>
          <w:szCs w:val="21"/>
        </w:rPr>
      </w:pPr>
      <w:r>
        <w:rPr>
          <w:rFonts w:ascii="Calibri" w:hAnsi="Calibri" w:eastAsia="宋体" w:cs="宋体"/>
          <w:kern w:val="0"/>
          <w:szCs w:val="21"/>
        </w:rPr>
        <w:br w:type="textWrapping"/>
      </w:r>
    </w:p>
    <w:p>
      <w:pPr>
        <w:widowControl/>
        <w:jc w:val="center"/>
        <w:rPr>
          <w:rFonts w:hint="eastAsia" w:ascii="宋体" w:hAnsi="宋体" w:eastAsia="宋体" w:cs="宋体"/>
          <w:kern w:val="0"/>
          <w:szCs w:val="21"/>
        </w:rPr>
      </w:pPr>
      <w:r>
        <w:rPr>
          <w:rFonts w:hint="eastAsia" w:ascii="宋体" w:hAnsi="宋体" w:eastAsia="宋体" w:cs="宋体"/>
          <w:kern w:val="0"/>
          <w:szCs w:val="21"/>
        </w:rPr>
        <w:br w:type="page"/>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附：</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残疾人福利性单位声明函（价格扣除适用，若有）</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rPr>
        <w:t>视为提供虚假材料</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rPr>
        <w:t>可享受价格扣除。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三-3招标文件规定的其他价格扣除证明材料（若有）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四、招标文件规定的加分证明材料（若有）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四-1优先类节能产品、环境标志产品加分证明材料（若有）</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四-1-</w:t>
      </w:r>
      <w:r>
        <w:rPr>
          <w:rFonts w:hint="eastAsia" w:ascii="宋体" w:hAnsi="宋体" w:eastAsia="宋体" w:cs="宋体"/>
          <w:b/>
          <w:bCs/>
          <w:kern w:val="0"/>
        </w:rPr>
        <w:t>①</w:t>
      </w:r>
      <w:r>
        <w:rPr>
          <w:rFonts w:ascii="宋体" w:hAnsi="宋体" w:eastAsia="宋体" w:cs="宋体"/>
          <w:b/>
          <w:bCs/>
          <w:kern w:val="0"/>
        </w:rPr>
        <w:t>优先类节能产品、环境标志产品统计表（加分适用，若有）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3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23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rPr>
        <w:t>“四</w:t>
      </w:r>
      <w:r>
        <w:rPr>
          <w:rFonts w:ascii="Calibri" w:hAnsi="Calibri" w:eastAsia="宋体" w:cs="宋体"/>
          <w:b/>
          <w:bCs/>
          <w:kern w:val="0"/>
        </w:rPr>
        <w:t>-1-</w:t>
      </w:r>
      <w:r>
        <w:rPr>
          <w:rFonts w:hint="eastAsia" w:ascii="宋体" w:hAnsi="宋体" w:eastAsia="宋体" w:cs="宋体"/>
          <w:b/>
          <w:bCs/>
          <w:kern w:val="0"/>
        </w:rPr>
        <w:t>②</w:t>
      </w:r>
      <w:r>
        <w:rPr>
          <w:rFonts w:ascii="宋体" w:hAnsi="宋体" w:eastAsia="宋体" w:cs="宋体"/>
          <w:b/>
          <w:bCs/>
          <w:kern w:val="0"/>
        </w:rPr>
        <w:t>优先类节能产品、环境标志产品加分证明材料（加分适用，若有）”。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3.1</w:t>
      </w:r>
      <w:r>
        <w:rPr>
          <w:rFonts w:ascii="Calibri" w:hAnsi="Calibri" w:eastAsia="宋体" w:cs="宋体"/>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rPr>
        <w:t>视为提供虚假材料</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b/>
          <w:bCs/>
          <w:kern w:val="0"/>
          <w:szCs w:val="21"/>
        </w:rPr>
        <w:br w:type="textWrapping"/>
      </w:r>
    </w:p>
    <w:p>
      <w:pPr>
        <w:widowControl/>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rPr>
        <w:t>四-1-</w:t>
      </w:r>
      <w:r>
        <w:rPr>
          <w:rFonts w:hint="eastAsia" w:ascii="宋体" w:hAnsi="宋体" w:eastAsia="宋体" w:cs="宋体"/>
          <w:b/>
          <w:bCs/>
          <w:kern w:val="0"/>
        </w:rPr>
        <w:t>②</w:t>
      </w:r>
      <w:r>
        <w:rPr>
          <w:rFonts w:ascii="宋体" w:hAnsi="宋体" w:eastAsia="宋体" w:cs="宋体"/>
          <w:b/>
          <w:bCs/>
          <w:kern w:val="0"/>
        </w:rPr>
        <w:t>优先类节能产品、环境标志产品证明材料（加分适用，若有）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b/>
          <w:bCs/>
          <w:kern w:val="0"/>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四</w:t>
      </w:r>
      <w:r>
        <w:rPr>
          <w:rFonts w:ascii="宋体" w:hAnsi="宋体" w:eastAsia="宋体" w:cs="宋体"/>
          <w:b/>
          <w:bCs/>
          <w:kern w:val="0"/>
        </w:rPr>
        <w:t>-2招标文件规定的其他加分证明材料（若有）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rPr>
        <w:t>（技术商务部分）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b/>
          <w:bCs/>
          <w:kern w:val="0"/>
          <w:sz w:val="29"/>
        </w:rPr>
        <w:t>索引</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rPr>
        <w:t>符合性审查不合格</w:t>
      </w:r>
      <w:r>
        <w:rPr>
          <w:rFonts w:ascii="宋体" w:hAnsi="宋体" w:eastAsia="宋体" w:cs="宋体"/>
          <w:kern w:val="0"/>
          <w:szCs w:val="21"/>
        </w:rPr>
        <w:t>。</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hint="eastAsia" w:ascii="宋体" w:hAnsi="宋体" w:eastAsia="宋体" w:cs="宋体"/>
          <w:b/>
          <w:bCs/>
          <w:kern w:val="0"/>
        </w:rPr>
      </w:pPr>
      <w:r>
        <w:rPr>
          <w:rFonts w:ascii="Calibri" w:hAnsi="Calibri" w:eastAsia="宋体" w:cs="宋体"/>
          <w:kern w:val="0"/>
          <w:szCs w:val="21"/>
        </w:rPr>
        <w:br w:type="textWrapping"/>
      </w:r>
    </w:p>
    <w:p>
      <w:pPr>
        <w:widowControl/>
        <w:spacing w:line="360" w:lineRule="auto"/>
        <w:jc w:val="center"/>
        <w:rPr>
          <w:rFonts w:hint="eastAsia" w:ascii="宋体" w:hAnsi="宋体" w:eastAsia="宋体" w:cs="宋体"/>
          <w:b/>
          <w:bCs/>
          <w:kern w:val="0"/>
        </w:rPr>
      </w:pPr>
      <w:r>
        <w:rPr>
          <w:rFonts w:hint="eastAsia" w:ascii="宋体" w:hAnsi="宋体" w:eastAsia="宋体" w:cs="宋体"/>
          <w:b/>
          <w:bCs/>
          <w:kern w:val="0"/>
        </w:rPr>
        <w:br w:type="page"/>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一、标的说明一览表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854"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1692"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投标标的</w:t>
            </w:r>
          </w:p>
        </w:tc>
        <w:tc>
          <w:tcPr>
            <w:tcW w:w="854"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数量</w:t>
            </w:r>
          </w:p>
        </w:tc>
        <w:tc>
          <w:tcPr>
            <w:tcW w:w="1138"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规格</w:t>
            </w:r>
          </w:p>
        </w:tc>
        <w:tc>
          <w:tcPr>
            <w:tcW w:w="1138"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来源地</w:t>
            </w:r>
          </w:p>
        </w:tc>
        <w:tc>
          <w:tcPr>
            <w:tcW w:w="1886"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169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8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169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8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692"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854"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138"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86"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本表应按照下列规定填写：1.1“合同包”、“品目号”、“投标标的”及“数量”应与招标文件《采购标的一览表》中的有关内容（“合同包”、“品目号”、“采购标的”及“数量”）保持一致。1.2“投标标的”为货物的：</w:t>
      </w:r>
      <w:r>
        <w:rPr>
          <w:rFonts w:ascii="宋体" w:hAnsi="宋体" w:eastAsia="宋体" w:cs="宋体"/>
          <w:b/>
          <w:bCs/>
          <w:kern w:val="0"/>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rPr>
        <w:t>“来源地”</w:t>
      </w:r>
      <w:r>
        <w:rPr>
          <w:rFonts w:ascii="宋体" w:hAnsi="宋体" w:eastAsia="宋体" w:cs="宋体"/>
          <w:kern w:val="0"/>
          <w:szCs w:val="21"/>
        </w:rPr>
        <w:t>应填写货物的原产地。</w:t>
      </w:r>
      <w:r>
        <w:rPr>
          <w:rFonts w:ascii="宋体" w:hAnsi="宋体" w:eastAsia="宋体" w:cs="宋体"/>
          <w:b/>
          <w:bCs/>
          <w:kern w:val="0"/>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1.3“投标标的”为服务的：</w:t>
      </w:r>
      <w:r>
        <w:rPr>
          <w:rFonts w:ascii="宋体" w:hAnsi="宋体" w:eastAsia="宋体" w:cs="宋体"/>
          <w:b/>
          <w:bCs/>
          <w:kern w:val="0"/>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rPr>
        <w:t>“来源地”</w:t>
      </w:r>
      <w:r>
        <w:rPr>
          <w:rFonts w:ascii="宋体" w:hAnsi="宋体" w:eastAsia="宋体" w:cs="宋体"/>
          <w:kern w:val="0"/>
          <w:szCs w:val="21"/>
        </w:rPr>
        <w:t>应填写服务提供者的所在地。</w:t>
      </w:r>
      <w:r>
        <w:rPr>
          <w:rFonts w:ascii="宋体" w:hAnsi="宋体" w:eastAsia="宋体" w:cs="宋体"/>
          <w:b/>
          <w:bCs/>
          <w:kern w:val="0"/>
        </w:rPr>
        <w:t>“备注”</w:t>
      </w:r>
      <w:r>
        <w:rPr>
          <w:rFonts w:ascii="宋体" w:hAnsi="宋体" w:eastAsia="宋体" w:cs="宋体"/>
          <w:kern w:val="0"/>
          <w:szCs w:val="21"/>
        </w:rPr>
        <w:t>项下应填写关于服务标准所涵盖的具体项目或内容的说明等。2、投标人需要说明的内容若需特殊表达，应先在本表中进行相应说明，再另页应答，否则</w:t>
      </w:r>
      <w:r>
        <w:rPr>
          <w:rFonts w:ascii="宋体" w:hAnsi="宋体" w:eastAsia="宋体" w:cs="宋体"/>
          <w:b/>
          <w:bCs/>
          <w:kern w:val="0"/>
        </w:rPr>
        <w:t>投标无效</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rPr>
        <w:t>“投标标的”、“数量”、“规格”、“来源地”</w:t>
      </w:r>
      <w:r>
        <w:rPr>
          <w:rFonts w:ascii="宋体" w:hAnsi="宋体" w:eastAsia="宋体" w:cs="宋体"/>
          <w:kern w:val="0"/>
          <w:szCs w:val="21"/>
        </w:rPr>
        <w:t>的内容若不一致，</w:t>
      </w:r>
      <w:r>
        <w:rPr>
          <w:rFonts w:ascii="宋体" w:hAnsi="宋体" w:eastAsia="宋体" w:cs="宋体"/>
          <w:b/>
          <w:bCs/>
          <w:kern w:val="0"/>
        </w:rPr>
        <w:t>应以本表为准</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4、纸质投标文件正本中的本表应为原件。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二、技术和服务要求响应表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招标编号：</w:t>
      </w:r>
      <w:r>
        <w:rPr>
          <w:rFonts w:ascii="宋体" w:hAnsi="宋体" w:eastAsia="宋体" w:cs="宋体"/>
          <w:kern w:val="0"/>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技术和服务要求</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rPr>
        <w:t>投标无效</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三、商务条件响应表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商务条件</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666666" w:sz="6" w:space="0"/>
              <w:bottom w:val="single" w:color="666666" w:sz="6" w:space="0"/>
              <w:right w:val="single" w:color="666666" w:sz="6" w:space="0"/>
            </w:tcBorders>
            <w:vAlign w:val="center"/>
          </w:tcPr>
          <w:p>
            <w:pPr>
              <w:widowControl/>
              <w:spacing w:line="360" w:lineRule="auto"/>
              <w:jc w:val="left"/>
              <w:rPr>
                <w:rFonts w:ascii="宋体" w:hAnsi="宋体" w:eastAsia="宋体" w:cs="宋体"/>
                <w:kern w:val="0"/>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60" w:lineRule="auto"/>
              <w:rPr>
                <w:rFonts w:ascii="宋体" w:hAnsi="宋体" w:eastAsia="宋体" w:cs="宋体"/>
                <w:kern w:val="0"/>
                <w:sz w:val="24"/>
                <w:szCs w:val="24"/>
              </w:rPr>
            </w:pPr>
            <w:r>
              <w:rPr>
                <w:rFonts w:ascii="Calibri" w:hAnsi="Calibri" w:eastAsia="宋体" w:cs="宋体"/>
                <w:kern w:val="0"/>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bl>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rPr>
        <w:t>投标无效</w:t>
      </w:r>
      <w:r>
        <w:rPr>
          <w:rFonts w:ascii="宋体" w:hAnsi="宋体" w:eastAsia="宋体" w:cs="宋体"/>
          <w:kern w:val="0"/>
          <w:szCs w:val="21"/>
        </w:rPr>
        <w:t>。</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line="360" w:lineRule="auto"/>
        <w:jc w:val="left"/>
        <w:rPr>
          <w:rFonts w:hint="eastAsia" w:ascii="宋体" w:hAnsi="宋体" w:eastAsia="宋体" w:cs="宋体"/>
          <w:kern w:val="0"/>
          <w:szCs w:val="21"/>
        </w:rPr>
      </w:pP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outlineLvl w:val="0"/>
        <w:rPr>
          <w:rFonts w:ascii="宋体" w:hAnsi="宋体" w:eastAsia="宋体" w:cs="宋体"/>
          <w:kern w:val="0"/>
          <w:sz w:val="24"/>
          <w:szCs w:val="24"/>
        </w:rPr>
      </w:pPr>
      <w:r>
        <w:rPr>
          <w:rFonts w:ascii="宋体" w:hAnsi="宋体" w:eastAsia="宋体" w:cs="宋体"/>
          <w:b/>
          <w:bCs/>
          <w:kern w:val="0"/>
        </w:rPr>
        <w:t>四、投标人提交的其他资料（若有）</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line="360" w:lineRule="auto"/>
        <w:jc w:val="left"/>
        <w:outlineLvl w:val="2"/>
        <w:rPr>
          <w:rFonts w:ascii="宋体" w:hAnsi="宋体" w:eastAsia="宋体" w:cs="宋体"/>
          <w:b/>
          <w:bCs/>
          <w:kern w:val="0"/>
          <w:sz w:val="27"/>
          <w:szCs w:val="27"/>
        </w:rPr>
      </w:pPr>
      <w:r>
        <w:rPr>
          <w:rFonts w:ascii="宋体" w:hAnsi="宋体" w:eastAsia="宋体" w:cs="宋体"/>
          <w:b/>
          <w:bCs/>
          <w:kern w:val="0"/>
          <w:sz w:val="27"/>
          <w:szCs w:val="27"/>
        </w:rPr>
        <w:t>采购文件相关附件</w:t>
      </w:r>
    </w:p>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宋体-方正超大字符集">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374"/>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E7B70"/>
    <w:multiLevelType w:val="singleLevel"/>
    <w:tmpl w:val="5D4E7B7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6E"/>
    <w:rsid w:val="00016429"/>
    <w:rsid w:val="000476F7"/>
    <w:rsid w:val="00066BF3"/>
    <w:rsid w:val="00075AB7"/>
    <w:rsid w:val="00081C21"/>
    <w:rsid w:val="000C0BCF"/>
    <w:rsid w:val="00114BAE"/>
    <w:rsid w:val="001203C1"/>
    <w:rsid w:val="001219C4"/>
    <w:rsid w:val="00141C77"/>
    <w:rsid w:val="00155FCA"/>
    <w:rsid w:val="00164585"/>
    <w:rsid w:val="001665B4"/>
    <w:rsid w:val="00183207"/>
    <w:rsid w:val="001B18A0"/>
    <w:rsid w:val="00204465"/>
    <w:rsid w:val="00204DDE"/>
    <w:rsid w:val="00216883"/>
    <w:rsid w:val="002215EE"/>
    <w:rsid w:val="002269DD"/>
    <w:rsid w:val="00246EBA"/>
    <w:rsid w:val="00266CD0"/>
    <w:rsid w:val="00270167"/>
    <w:rsid w:val="00282BCF"/>
    <w:rsid w:val="00290D50"/>
    <w:rsid w:val="002A397E"/>
    <w:rsid w:val="002D39AB"/>
    <w:rsid w:val="002D5AB5"/>
    <w:rsid w:val="002F23A9"/>
    <w:rsid w:val="00304BF2"/>
    <w:rsid w:val="00321E25"/>
    <w:rsid w:val="00333A1B"/>
    <w:rsid w:val="00336DB5"/>
    <w:rsid w:val="00353DA2"/>
    <w:rsid w:val="00366A9B"/>
    <w:rsid w:val="003C0520"/>
    <w:rsid w:val="003C1226"/>
    <w:rsid w:val="0040156F"/>
    <w:rsid w:val="00403F3A"/>
    <w:rsid w:val="00404EED"/>
    <w:rsid w:val="004315E9"/>
    <w:rsid w:val="00433044"/>
    <w:rsid w:val="004502AA"/>
    <w:rsid w:val="004521E0"/>
    <w:rsid w:val="00452242"/>
    <w:rsid w:val="0045462B"/>
    <w:rsid w:val="00471747"/>
    <w:rsid w:val="004B482E"/>
    <w:rsid w:val="004C128D"/>
    <w:rsid w:val="004F1F42"/>
    <w:rsid w:val="00515D7B"/>
    <w:rsid w:val="00517883"/>
    <w:rsid w:val="005178B2"/>
    <w:rsid w:val="00527C57"/>
    <w:rsid w:val="005723EA"/>
    <w:rsid w:val="005A268C"/>
    <w:rsid w:val="005A71AF"/>
    <w:rsid w:val="005B32AA"/>
    <w:rsid w:val="005C58E8"/>
    <w:rsid w:val="005C798A"/>
    <w:rsid w:val="00622287"/>
    <w:rsid w:val="00622B11"/>
    <w:rsid w:val="00636EBE"/>
    <w:rsid w:val="00655487"/>
    <w:rsid w:val="006641DE"/>
    <w:rsid w:val="00692BBC"/>
    <w:rsid w:val="00697F33"/>
    <w:rsid w:val="006A1A44"/>
    <w:rsid w:val="006B1D5D"/>
    <w:rsid w:val="006C0F54"/>
    <w:rsid w:val="006C367E"/>
    <w:rsid w:val="006E73A3"/>
    <w:rsid w:val="006F454D"/>
    <w:rsid w:val="007157C9"/>
    <w:rsid w:val="00735556"/>
    <w:rsid w:val="00753B29"/>
    <w:rsid w:val="00764313"/>
    <w:rsid w:val="00776187"/>
    <w:rsid w:val="007801B2"/>
    <w:rsid w:val="007B357D"/>
    <w:rsid w:val="007C516E"/>
    <w:rsid w:val="007D2080"/>
    <w:rsid w:val="007D333A"/>
    <w:rsid w:val="007D6E91"/>
    <w:rsid w:val="007E186E"/>
    <w:rsid w:val="007F37EA"/>
    <w:rsid w:val="008001DC"/>
    <w:rsid w:val="0080394D"/>
    <w:rsid w:val="00805D30"/>
    <w:rsid w:val="00834255"/>
    <w:rsid w:val="00844C6D"/>
    <w:rsid w:val="00862612"/>
    <w:rsid w:val="008829BD"/>
    <w:rsid w:val="00886FEA"/>
    <w:rsid w:val="00890418"/>
    <w:rsid w:val="008A2582"/>
    <w:rsid w:val="008B3566"/>
    <w:rsid w:val="008C7A2C"/>
    <w:rsid w:val="008D279F"/>
    <w:rsid w:val="008E13E4"/>
    <w:rsid w:val="008E557C"/>
    <w:rsid w:val="008F474E"/>
    <w:rsid w:val="00950E3B"/>
    <w:rsid w:val="009615DA"/>
    <w:rsid w:val="009621F1"/>
    <w:rsid w:val="00962FE3"/>
    <w:rsid w:val="0097625C"/>
    <w:rsid w:val="00991043"/>
    <w:rsid w:val="009B1944"/>
    <w:rsid w:val="009B4108"/>
    <w:rsid w:val="00A3397C"/>
    <w:rsid w:val="00A65CE9"/>
    <w:rsid w:val="00A66E12"/>
    <w:rsid w:val="00A6731E"/>
    <w:rsid w:val="00A75326"/>
    <w:rsid w:val="00A82C90"/>
    <w:rsid w:val="00A83E93"/>
    <w:rsid w:val="00A97677"/>
    <w:rsid w:val="00AC55A5"/>
    <w:rsid w:val="00AE2922"/>
    <w:rsid w:val="00B01896"/>
    <w:rsid w:val="00B82EF5"/>
    <w:rsid w:val="00B84FF1"/>
    <w:rsid w:val="00B859C1"/>
    <w:rsid w:val="00B92055"/>
    <w:rsid w:val="00BC407E"/>
    <w:rsid w:val="00BC4D1C"/>
    <w:rsid w:val="00C24DD4"/>
    <w:rsid w:val="00C266E3"/>
    <w:rsid w:val="00C85977"/>
    <w:rsid w:val="00C9322F"/>
    <w:rsid w:val="00CA3156"/>
    <w:rsid w:val="00CB562F"/>
    <w:rsid w:val="00D13A54"/>
    <w:rsid w:val="00D14496"/>
    <w:rsid w:val="00D16D6C"/>
    <w:rsid w:val="00D4356C"/>
    <w:rsid w:val="00D520FA"/>
    <w:rsid w:val="00D55983"/>
    <w:rsid w:val="00D67D95"/>
    <w:rsid w:val="00D72825"/>
    <w:rsid w:val="00D82175"/>
    <w:rsid w:val="00D82E65"/>
    <w:rsid w:val="00DC216E"/>
    <w:rsid w:val="00DC6063"/>
    <w:rsid w:val="00DE292A"/>
    <w:rsid w:val="00DF7582"/>
    <w:rsid w:val="00E069D9"/>
    <w:rsid w:val="00EA20DF"/>
    <w:rsid w:val="00EB1535"/>
    <w:rsid w:val="00EC20FF"/>
    <w:rsid w:val="00EE3306"/>
    <w:rsid w:val="00EF07A5"/>
    <w:rsid w:val="00EF18F8"/>
    <w:rsid w:val="00F245B6"/>
    <w:rsid w:val="00F54E8F"/>
    <w:rsid w:val="00F65B31"/>
    <w:rsid w:val="00F850CB"/>
    <w:rsid w:val="00FB439C"/>
    <w:rsid w:val="00FD1CB1"/>
    <w:rsid w:val="00FD41A0"/>
    <w:rsid w:val="2C59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92"/>
    <w:semiHidden/>
    <w:unhideWhenUsed/>
    <w:uiPriority w:val="99"/>
    <w:rPr>
      <w:rFonts w:ascii="宋体" w:eastAsia="宋体"/>
      <w:sz w:val="18"/>
      <w:szCs w:val="18"/>
    </w:rPr>
  </w:style>
  <w:style w:type="paragraph" w:styleId="4">
    <w:name w:val="annotation text"/>
    <w:basedOn w:val="1"/>
    <w:link w:val="94"/>
    <w:unhideWhenUsed/>
    <w:qFormat/>
    <w:uiPriority w:val="99"/>
    <w:pPr>
      <w:jc w:val="left"/>
    </w:pPr>
  </w:style>
  <w:style w:type="paragraph" w:styleId="5">
    <w:name w:val="Balloon Text"/>
    <w:basedOn w:val="1"/>
    <w:link w:val="96"/>
    <w:semiHidden/>
    <w:unhideWhenUsed/>
    <w:qFormat/>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95"/>
    <w:semiHidden/>
    <w:unhideWhenUsed/>
    <w:qFormat/>
    <w:uiPriority w:val="99"/>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semiHidden/>
    <w:unhideWhenUsed/>
    <w:uiPriority w:val="99"/>
    <w:rPr>
      <w:color w:val="800080"/>
      <w:u w:val="single"/>
    </w:rPr>
  </w:style>
  <w:style w:type="character" w:styleId="15">
    <w:name w:val="Emphasis"/>
    <w:basedOn w:val="12"/>
    <w:qFormat/>
    <w:uiPriority w:val="20"/>
    <w:rPr>
      <w:i/>
      <w:iCs/>
    </w:rPr>
  </w:style>
  <w:style w:type="character" w:styleId="16">
    <w:name w:val="Hyperlink"/>
    <w:basedOn w:val="12"/>
    <w:semiHidden/>
    <w:unhideWhenUsed/>
    <w:qFormat/>
    <w:uiPriority w:val="99"/>
    <w:rPr>
      <w:color w:val="0000FF"/>
      <w:u w:val="single"/>
    </w:rPr>
  </w:style>
  <w:style w:type="character" w:styleId="17">
    <w:name w:val="annotation reference"/>
    <w:basedOn w:val="12"/>
    <w:unhideWhenUsed/>
    <w:qFormat/>
    <w:uiPriority w:val="99"/>
    <w:rPr>
      <w:sz w:val="21"/>
      <w:szCs w:val="21"/>
    </w:rPr>
  </w:style>
  <w:style w:type="character" w:styleId="18">
    <w:name w:val="HTML Cite"/>
    <w:basedOn w:val="12"/>
    <w:semiHidden/>
    <w:unhideWhenUsed/>
    <w:uiPriority w:val="99"/>
    <w:rPr>
      <w:i/>
      <w:iCs/>
    </w:rPr>
  </w:style>
  <w:style w:type="character" w:customStyle="1" w:styleId="19">
    <w:name w:val="页眉 Char"/>
    <w:basedOn w:val="12"/>
    <w:link w:val="7"/>
    <w:semiHidden/>
    <w:uiPriority w:val="99"/>
    <w:rPr>
      <w:sz w:val="18"/>
      <w:szCs w:val="18"/>
    </w:rPr>
  </w:style>
  <w:style w:type="character" w:customStyle="1" w:styleId="20">
    <w:name w:val="页脚 Char"/>
    <w:basedOn w:val="12"/>
    <w:link w:val="6"/>
    <w:uiPriority w:val="99"/>
    <w:rPr>
      <w:sz w:val="18"/>
      <w:szCs w:val="18"/>
    </w:rPr>
  </w:style>
  <w:style w:type="character" w:customStyle="1" w:styleId="21">
    <w:name w:val="标题 3 Char"/>
    <w:basedOn w:val="12"/>
    <w:link w:val="2"/>
    <w:uiPriority w:val="9"/>
    <w:rPr>
      <w:rFonts w:ascii="宋体" w:hAnsi="宋体" w:eastAsia="宋体" w:cs="宋体"/>
      <w:b/>
      <w:bCs/>
      <w:kern w:val="0"/>
      <w:sz w:val="27"/>
      <w:szCs w:val="27"/>
    </w:rPr>
  </w:style>
  <w:style w:type="paragraph" w:customStyle="1" w:styleId="22">
    <w:name w:val="mloading"/>
    <w:basedOn w:val="1"/>
    <w:uiPriority w:val="0"/>
    <w:pPr>
      <w:widowControl/>
      <w:shd w:val="clear" w:color="auto" w:fill="E9E9E8"/>
      <w:spacing w:before="100" w:beforeAutospacing="1" w:after="100" w:afterAutospacing="1" w:line="330" w:lineRule="atLeast"/>
      <w:jc w:val="left"/>
    </w:pPr>
    <w:rPr>
      <w:rFonts w:ascii="微软雅黑" w:hAnsi="微软雅黑" w:eastAsia="微软雅黑" w:cs="宋体"/>
      <w:vanish/>
      <w:kern w:val="0"/>
      <w:sz w:val="18"/>
      <w:szCs w:val="18"/>
    </w:rPr>
  </w:style>
  <w:style w:type="paragraph" w:customStyle="1" w:styleId="23">
    <w:name w:val="mloading-fu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mloading-bod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mloading-bar"/>
    <w:basedOn w:val="1"/>
    <w:qFormat/>
    <w:uiPriority w:val="0"/>
    <w:pPr>
      <w:widowControl/>
      <w:shd w:val="clear" w:color="auto" w:fill="FFFFFF"/>
      <w:wordWrap w:val="0"/>
      <w:spacing w:after="100" w:afterAutospacing="1"/>
      <w:ind w:left="-2100"/>
      <w:jc w:val="center"/>
    </w:pPr>
    <w:rPr>
      <w:rFonts w:ascii="宋体" w:hAnsi="宋体" w:eastAsia="宋体" w:cs="宋体"/>
      <w:color w:val="999999"/>
      <w:kern w:val="0"/>
      <w:szCs w:val="21"/>
    </w:rPr>
  </w:style>
  <w:style w:type="paragraph" w:customStyle="1" w:styleId="26">
    <w:name w:val="mloading-bar-sm"/>
    <w:basedOn w:val="1"/>
    <w:qFormat/>
    <w:uiPriority w:val="0"/>
    <w:pPr>
      <w:widowControl/>
      <w:spacing w:after="100" w:afterAutospacing="1" w:line="840" w:lineRule="atLeast"/>
      <w:ind w:left="-450"/>
      <w:jc w:val="left"/>
    </w:pPr>
    <w:rPr>
      <w:rFonts w:ascii="宋体" w:hAnsi="宋体" w:eastAsia="宋体" w:cs="宋体"/>
      <w:kern w:val="0"/>
      <w:sz w:val="24"/>
      <w:szCs w:val="24"/>
    </w:rPr>
  </w:style>
  <w:style w:type="paragraph" w:customStyle="1" w:styleId="27">
    <w:name w:val="mloading-icon"/>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8">
    <w:name w:val="mloading-text"/>
    <w:basedOn w:val="1"/>
    <w:qFormat/>
    <w:uiPriority w:val="0"/>
    <w:pPr>
      <w:widowControl/>
      <w:spacing w:before="100" w:beforeAutospacing="1" w:after="100" w:afterAutospacing="1"/>
      <w:ind w:left="150"/>
      <w:jc w:val="left"/>
    </w:pPr>
    <w:rPr>
      <w:rFonts w:ascii="宋体" w:hAnsi="宋体" w:eastAsia="宋体" w:cs="宋体"/>
      <w:kern w:val="0"/>
      <w:sz w:val="24"/>
      <w:szCs w:val="24"/>
    </w:rPr>
  </w:style>
  <w:style w:type="paragraph" w:customStyle="1" w:styleId="29">
    <w:name w:val="layui-layer-imgbar"/>
    <w:basedOn w:val="1"/>
    <w:uiPriority w:val="0"/>
    <w:pPr>
      <w:widowControl/>
      <w:spacing w:before="100" w:beforeAutospacing="1" w:after="100" w:afterAutospacing="1" w:line="480" w:lineRule="atLeast"/>
      <w:jc w:val="left"/>
    </w:pPr>
    <w:rPr>
      <w:rFonts w:ascii="宋体" w:hAnsi="宋体" w:eastAsia="宋体" w:cs="宋体"/>
      <w:vanish/>
      <w:color w:val="FFFFFF"/>
      <w:kern w:val="0"/>
      <w:sz w:val="2"/>
      <w:szCs w:val="2"/>
    </w:rPr>
  </w:style>
  <w:style w:type="paragraph" w:customStyle="1" w:styleId="30">
    <w:name w:val="layui-layer-title"/>
    <w:basedOn w:val="1"/>
    <w:uiPriority w:val="0"/>
    <w:pPr>
      <w:widowControl/>
      <w:pBdr>
        <w:bottom w:val="single" w:color="EEEEEE" w:sz="6" w:space="0"/>
      </w:pBdr>
      <w:shd w:val="clear" w:color="auto" w:fill="F8F8F8"/>
      <w:spacing w:before="100" w:beforeAutospacing="1" w:after="100" w:afterAutospacing="1" w:line="630" w:lineRule="atLeast"/>
      <w:jc w:val="left"/>
    </w:pPr>
    <w:rPr>
      <w:rFonts w:ascii="宋体" w:hAnsi="宋体" w:eastAsia="宋体" w:cs="宋体"/>
      <w:color w:val="333333"/>
      <w:kern w:val="0"/>
      <w:szCs w:val="21"/>
    </w:rPr>
  </w:style>
  <w:style w:type="paragraph" w:customStyle="1" w:styleId="31">
    <w:name w:val="layui-layer-shad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ayui-layer"/>
    <w:basedOn w:val="1"/>
    <w:uiPriority w:val="0"/>
    <w:pPr>
      <w:widowControl/>
      <w:shd w:val="clear" w:color="auto" w:fill="FFFFFF"/>
      <w:jc w:val="left"/>
    </w:pPr>
    <w:rPr>
      <w:rFonts w:ascii="宋体" w:hAnsi="宋体" w:eastAsia="宋体" w:cs="宋体"/>
      <w:kern w:val="0"/>
      <w:sz w:val="24"/>
      <w:szCs w:val="24"/>
    </w:rPr>
  </w:style>
  <w:style w:type="paragraph" w:customStyle="1" w:styleId="33">
    <w:name w:val="layui-layer-border"/>
    <w:basedOn w:val="1"/>
    <w:uiPriority w:val="0"/>
    <w:pPr>
      <w:widowControl/>
      <w:pBdr>
        <w:top w:val="single" w:color="B2B2B2" w:sz="6" w:space="0"/>
        <w:left w:val="single" w:color="B2B2B2" w:sz="6" w:space="0"/>
        <w:bottom w:val="single" w:color="B2B2B2" w:sz="6" w:space="0"/>
        <w:right w:val="single" w:color="B2B2B2" w:sz="6" w:space="0"/>
      </w:pBdr>
      <w:spacing w:before="100" w:beforeAutospacing="1" w:after="100" w:afterAutospacing="1"/>
      <w:jc w:val="left"/>
    </w:pPr>
    <w:rPr>
      <w:rFonts w:ascii="宋体" w:hAnsi="宋体" w:eastAsia="宋体" w:cs="宋体"/>
      <w:kern w:val="0"/>
      <w:sz w:val="24"/>
      <w:szCs w:val="24"/>
    </w:rPr>
  </w:style>
  <w:style w:type="paragraph" w:customStyle="1" w:styleId="34">
    <w:name w:val="layui-layer-load"/>
    <w:basedOn w:val="1"/>
    <w:qFormat/>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35">
    <w:name w:val="layui-layer-ic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layui-layer-move"/>
    <w:basedOn w:val="1"/>
    <w:qFormat/>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7">
    <w:name w:val="layui-layer-resiz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layui-layer-setwin"/>
    <w:basedOn w:val="1"/>
    <w:qFormat/>
    <w:uiPriority w:val="0"/>
    <w:pPr>
      <w:widowControl/>
      <w:spacing w:before="100" w:beforeAutospacing="1" w:after="100" w:afterAutospacing="1"/>
      <w:jc w:val="left"/>
    </w:pPr>
    <w:rPr>
      <w:rFonts w:ascii="宋体" w:hAnsi="宋体" w:eastAsia="宋体" w:cs="宋体"/>
      <w:kern w:val="0"/>
      <w:sz w:val="2"/>
      <w:szCs w:val="2"/>
    </w:rPr>
  </w:style>
  <w:style w:type="paragraph" w:customStyle="1" w:styleId="39">
    <w:name w:val="layui-layer-btn"/>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0">
    <w:name w:val="layui-layer-btn-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layui-layer-btn-c"/>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2">
    <w:name w:val="layui-layer-rim"/>
    <w:basedOn w:val="1"/>
    <w:qFormat/>
    <w:uiPriority w:val="0"/>
    <w:pPr>
      <w:widowControl/>
      <w:pBdr>
        <w:top w:val="single" w:color="8D8D8D" w:sz="36" w:space="0"/>
        <w:left w:val="single" w:color="8D8D8D" w:sz="36" w:space="0"/>
        <w:bottom w:val="single" w:color="8D8D8D" w:sz="36" w:space="0"/>
        <w:right w:val="single" w:color="8D8D8D" w:sz="36" w:space="0"/>
      </w:pBdr>
      <w:spacing w:before="100" w:beforeAutospacing="1" w:after="100" w:afterAutospacing="1"/>
      <w:jc w:val="left"/>
    </w:pPr>
    <w:rPr>
      <w:rFonts w:ascii="宋体" w:hAnsi="宋体" w:eastAsia="宋体" w:cs="宋体"/>
      <w:kern w:val="0"/>
      <w:sz w:val="24"/>
      <w:szCs w:val="24"/>
    </w:rPr>
  </w:style>
  <w:style w:type="paragraph" w:customStyle="1" w:styleId="43">
    <w:name w:val="layui-layer-msg"/>
    <w:basedOn w:val="1"/>
    <w:qFormat/>
    <w:uiPriority w:val="0"/>
    <w:pPr>
      <w:widowControl/>
      <w:pBdr>
        <w:top w:val="single" w:color="D3D4D3" w:sz="6" w:space="0"/>
        <w:left w:val="single" w:color="D3D4D3" w:sz="6" w:space="0"/>
        <w:bottom w:val="single" w:color="D3D4D3" w:sz="6" w:space="0"/>
        <w:right w:val="single" w:color="D3D4D3" w:sz="6" w:space="0"/>
      </w:pBdr>
      <w:spacing w:before="100" w:beforeAutospacing="1" w:after="100" w:afterAutospacing="1"/>
      <w:jc w:val="left"/>
    </w:pPr>
    <w:rPr>
      <w:rFonts w:ascii="宋体" w:hAnsi="宋体" w:eastAsia="宋体" w:cs="宋体"/>
      <w:kern w:val="0"/>
      <w:sz w:val="24"/>
      <w:szCs w:val="24"/>
    </w:rPr>
  </w:style>
  <w:style w:type="paragraph" w:customStyle="1" w:styleId="44">
    <w:name w:val="layui-layer-hui"/>
    <w:basedOn w:val="1"/>
    <w:qFormat/>
    <w:uiPriority w:val="0"/>
    <w:pPr>
      <w:widowControl/>
      <w:shd w:val="clear" w:color="auto" w:fill="000000"/>
      <w:spacing w:before="100" w:beforeAutospacing="1" w:after="100" w:afterAutospacing="1"/>
      <w:jc w:val="left"/>
    </w:pPr>
    <w:rPr>
      <w:rFonts w:ascii="宋体" w:hAnsi="宋体" w:eastAsia="宋体" w:cs="宋体"/>
      <w:color w:val="FFFFFF"/>
      <w:kern w:val="0"/>
      <w:sz w:val="24"/>
      <w:szCs w:val="24"/>
    </w:rPr>
  </w:style>
  <w:style w:type="paragraph" w:customStyle="1" w:styleId="45">
    <w:name w:val="layui-layer-lo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layui-layer-ico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layui-layer-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layui-layer-icon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layui-layer-tabmain"/>
    <w:basedOn w:val="1"/>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50">
    <w:name w:val="layui-layer-imguide"/>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51">
    <w:name w:val="layui-layer-imgnext"/>
    <w:basedOn w:val="1"/>
    <w:qFormat/>
    <w:uiPriority w:val="0"/>
    <w:pPr>
      <w:widowControl/>
      <w:spacing w:after="100" w:afterAutospacing="1"/>
      <w:jc w:val="left"/>
    </w:pPr>
    <w:rPr>
      <w:rFonts w:ascii="宋体" w:hAnsi="宋体" w:eastAsia="宋体" w:cs="宋体"/>
      <w:kern w:val="0"/>
      <w:sz w:val="24"/>
      <w:szCs w:val="24"/>
    </w:rPr>
  </w:style>
  <w:style w:type="paragraph" w:customStyle="1" w:styleId="52">
    <w:name w:val="layui-layer-imgprev"/>
    <w:basedOn w:val="1"/>
    <w:qFormat/>
    <w:uiPriority w:val="0"/>
    <w:pPr>
      <w:widowControl/>
      <w:spacing w:after="100" w:afterAutospacing="1"/>
      <w:jc w:val="left"/>
    </w:pPr>
    <w:rPr>
      <w:rFonts w:ascii="宋体" w:hAnsi="宋体" w:eastAsia="宋体" w:cs="宋体"/>
      <w:kern w:val="0"/>
      <w:sz w:val="24"/>
      <w:szCs w:val="24"/>
    </w:rPr>
  </w:style>
  <w:style w:type="paragraph" w:customStyle="1" w:styleId="53">
    <w:name w:val="jqstooltip"/>
    <w:basedOn w:val="1"/>
    <w:qFormat/>
    <w:uiPriority w:val="0"/>
    <w:pPr>
      <w:widowControl/>
      <w:pBdr>
        <w:top w:val="single" w:color="FFFFFF" w:sz="6" w:space="4"/>
        <w:left w:val="single" w:color="FFFFFF" w:sz="6" w:space="4"/>
        <w:bottom w:val="single" w:color="FFFFFF" w:sz="6" w:space="4"/>
        <w:right w:val="single" w:color="FFFFFF" w:sz="6" w:space="4"/>
      </w:pBdr>
      <w:spacing w:before="100" w:beforeAutospacing="1" w:after="100" w:afterAutospacing="1"/>
      <w:jc w:val="left"/>
    </w:pPr>
    <w:rPr>
      <w:rFonts w:ascii="Arial" w:hAnsi="Arial" w:eastAsia="宋体" w:cs="Arial"/>
      <w:color w:val="FFFFFF"/>
      <w:kern w:val="0"/>
      <w:sz w:val="15"/>
      <w:szCs w:val="15"/>
    </w:rPr>
  </w:style>
  <w:style w:type="paragraph" w:customStyle="1" w:styleId="54">
    <w:name w:val="jqsfield"/>
    <w:basedOn w:val="1"/>
    <w:qFormat/>
    <w:uiPriority w:val="0"/>
    <w:pPr>
      <w:widowControl/>
      <w:spacing w:before="100" w:beforeAutospacing="1" w:after="100" w:afterAutospacing="1"/>
      <w:jc w:val="left"/>
    </w:pPr>
    <w:rPr>
      <w:rFonts w:ascii="Arial" w:hAnsi="Arial" w:eastAsia="宋体" w:cs="Arial"/>
      <w:color w:val="FFFFFF"/>
      <w:kern w:val="0"/>
      <w:sz w:val="15"/>
      <w:szCs w:val="15"/>
    </w:rPr>
  </w:style>
  <w:style w:type="paragraph" w:customStyle="1" w:styleId="55">
    <w:name w:val="layui-layer-close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layui-layer-btn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layui-layer-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layui-layer-padd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layui-layer-loadin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layui-layer-loading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layui-layer-in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layui-layer-tabl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layui-layer-btn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4">
    <w:name w:val="layui-layer-tabnow"/>
    <w:basedOn w:val="12"/>
    <w:qFormat/>
    <w:uiPriority w:val="0"/>
  </w:style>
  <w:style w:type="paragraph" w:customStyle="1" w:styleId="65">
    <w:name w:val="layui-layer-ico1"/>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66">
    <w:name w:val="layui-layer-close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layui-layer-btn01"/>
    <w:basedOn w:val="1"/>
    <w:uiPriority w:val="0"/>
    <w:pPr>
      <w:widowControl/>
      <w:shd w:val="clear" w:color="auto" w:fill="2E8DED"/>
      <w:spacing w:before="100" w:beforeAutospacing="1" w:after="100" w:afterAutospacing="1"/>
      <w:jc w:val="left"/>
    </w:pPr>
    <w:rPr>
      <w:rFonts w:ascii="宋体" w:hAnsi="宋体" w:eastAsia="宋体" w:cs="宋体"/>
      <w:color w:val="FFFFFF"/>
      <w:kern w:val="0"/>
      <w:sz w:val="24"/>
      <w:szCs w:val="24"/>
    </w:rPr>
  </w:style>
  <w:style w:type="paragraph" w:customStyle="1" w:styleId="68">
    <w:name w:val="layui-layer-content1"/>
    <w:basedOn w:val="1"/>
    <w:qFormat/>
    <w:uiPriority w:val="0"/>
    <w:pPr>
      <w:widowControl/>
      <w:wordWrap w:val="0"/>
      <w:spacing w:before="100" w:beforeAutospacing="1" w:after="100" w:afterAutospacing="1" w:line="360" w:lineRule="atLeast"/>
      <w:jc w:val="left"/>
    </w:pPr>
    <w:rPr>
      <w:rFonts w:ascii="宋体" w:hAnsi="宋体" w:eastAsia="宋体" w:cs="宋体"/>
      <w:kern w:val="0"/>
      <w:szCs w:val="21"/>
    </w:rPr>
  </w:style>
  <w:style w:type="paragraph" w:customStyle="1" w:styleId="69">
    <w:name w:val="layui-layer-ico2"/>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70">
    <w:name w:val="layui-layer-content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layui-layer-padding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layui-layer-btn2"/>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73">
    <w:name w:val="layui-layer-btn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74">
    <w:name w:val="layui-layer-conten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layui-layer-loading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layui-layer-loading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layui-layer-content4"/>
    <w:basedOn w:val="1"/>
    <w:qFormat/>
    <w:uiPriority w:val="0"/>
    <w:pPr>
      <w:widowControl/>
      <w:shd w:val="clear" w:color="auto" w:fill="000000"/>
      <w:spacing w:before="100" w:beforeAutospacing="1" w:after="100" w:afterAutospacing="1" w:line="330" w:lineRule="atLeast"/>
      <w:jc w:val="left"/>
    </w:pPr>
    <w:rPr>
      <w:rFonts w:ascii="宋体" w:hAnsi="宋体" w:eastAsia="宋体" w:cs="宋体"/>
      <w:color w:val="FFFFFF"/>
      <w:kern w:val="0"/>
      <w:sz w:val="18"/>
      <w:szCs w:val="18"/>
    </w:rPr>
  </w:style>
  <w:style w:type="paragraph" w:customStyle="1" w:styleId="78">
    <w:name w:val="layui-layer-title1"/>
    <w:basedOn w:val="1"/>
    <w:qFormat/>
    <w:uiPriority w:val="0"/>
    <w:pPr>
      <w:widowControl/>
      <w:shd w:val="clear" w:color="auto" w:fill="4476A7"/>
      <w:spacing w:before="100" w:beforeAutospacing="1" w:after="100" w:afterAutospacing="1" w:line="630" w:lineRule="atLeast"/>
      <w:jc w:val="left"/>
    </w:pPr>
    <w:rPr>
      <w:rFonts w:ascii="宋体" w:hAnsi="宋体" w:eastAsia="宋体" w:cs="宋体"/>
      <w:color w:val="FFFFFF"/>
      <w:kern w:val="0"/>
      <w:szCs w:val="21"/>
    </w:rPr>
  </w:style>
  <w:style w:type="paragraph" w:customStyle="1" w:styleId="79">
    <w:name w:val="layui-layer-btn4"/>
    <w:basedOn w:val="1"/>
    <w:uiPriority w:val="0"/>
    <w:pPr>
      <w:widowControl/>
      <w:pBdr>
        <w:top w:val="single" w:color="E9E7E7" w:sz="6" w:space="4"/>
      </w:pBdr>
      <w:spacing w:before="100" w:beforeAutospacing="1" w:after="100" w:afterAutospacing="1"/>
      <w:jc w:val="right"/>
    </w:pPr>
    <w:rPr>
      <w:rFonts w:ascii="宋体" w:hAnsi="宋体" w:eastAsia="宋体" w:cs="宋体"/>
      <w:kern w:val="0"/>
      <w:sz w:val="24"/>
      <w:szCs w:val="24"/>
    </w:rPr>
  </w:style>
  <w:style w:type="paragraph" w:customStyle="1" w:styleId="80">
    <w:name w:val="layui-layer-btn11"/>
    <w:basedOn w:val="1"/>
    <w:qFormat/>
    <w:uiPriority w:val="0"/>
    <w:pPr>
      <w:widowControl/>
      <w:shd w:val="clear" w:color="auto" w:fill="C9C5C5"/>
      <w:spacing w:before="100" w:beforeAutospacing="1" w:after="100" w:afterAutospacing="1"/>
      <w:jc w:val="left"/>
    </w:pPr>
    <w:rPr>
      <w:rFonts w:ascii="宋体" w:hAnsi="宋体" w:eastAsia="宋体" w:cs="宋体"/>
      <w:kern w:val="0"/>
      <w:sz w:val="24"/>
      <w:szCs w:val="24"/>
    </w:rPr>
  </w:style>
  <w:style w:type="paragraph" w:customStyle="1" w:styleId="81">
    <w:name w:val="layui-layer-title2"/>
    <w:basedOn w:val="1"/>
    <w:qFormat/>
    <w:uiPriority w:val="0"/>
    <w:pPr>
      <w:widowControl/>
      <w:shd w:val="clear" w:color="auto" w:fill="009F95"/>
      <w:spacing w:before="100" w:beforeAutospacing="1" w:after="100" w:afterAutospacing="1" w:line="630" w:lineRule="atLeast"/>
      <w:jc w:val="left"/>
    </w:pPr>
    <w:rPr>
      <w:rFonts w:ascii="宋体" w:hAnsi="宋体" w:eastAsia="宋体" w:cs="宋体"/>
      <w:color w:val="FFFFFF"/>
      <w:kern w:val="0"/>
      <w:szCs w:val="21"/>
    </w:rPr>
  </w:style>
  <w:style w:type="paragraph" w:customStyle="1" w:styleId="82">
    <w:name w:val="layui-layer-btn12"/>
    <w:basedOn w:val="1"/>
    <w:qFormat/>
    <w:uiPriority w:val="0"/>
    <w:pPr>
      <w:widowControl/>
      <w:shd w:val="clear" w:color="auto" w:fill="92B8B1"/>
      <w:spacing w:before="100" w:beforeAutospacing="1" w:after="100" w:afterAutospacing="1"/>
      <w:jc w:val="left"/>
    </w:pPr>
    <w:rPr>
      <w:rFonts w:ascii="宋体" w:hAnsi="宋体" w:eastAsia="宋体" w:cs="宋体"/>
      <w:kern w:val="0"/>
      <w:sz w:val="24"/>
      <w:szCs w:val="24"/>
    </w:rPr>
  </w:style>
  <w:style w:type="paragraph" w:customStyle="1" w:styleId="83">
    <w:name w:val="layui-layer-input1"/>
    <w:basedOn w:val="1"/>
    <w:uiPriority w:val="0"/>
    <w:pPr>
      <w:widowControl/>
      <w:pBdr>
        <w:top w:val="single" w:color="CCCCCC" w:sz="6" w:space="0"/>
        <w:left w:val="single" w:color="CCCCCC" w:sz="6" w:space="4"/>
        <w:bottom w:val="single" w:color="CCCCCC" w:sz="6" w:space="0"/>
        <w:right w:val="single" w:color="CCCCCC" w:sz="6" w:space="4"/>
      </w:pBdr>
      <w:spacing w:line="450" w:lineRule="atLeast"/>
      <w:jc w:val="left"/>
    </w:pPr>
    <w:rPr>
      <w:rFonts w:ascii="宋体" w:hAnsi="宋体" w:eastAsia="宋体" w:cs="宋体"/>
      <w:color w:val="333333"/>
      <w:kern w:val="0"/>
      <w:sz w:val="24"/>
      <w:szCs w:val="24"/>
    </w:rPr>
  </w:style>
  <w:style w:type="paragraph" w:customStyle="1" w:styleId="84">
    <w:name w:val="layui-layer-content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layui-layer-btn5"/>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86">
    <w:name w:val="layui-layer-title3"/>
    <w:basedOn w:val="1"/>
    <w:qFormat/>
    <w:uiPriority w:val="0"/>
    <w:pPr>
      <w:widowControl/>
      <w:pBdr>
        <w:bottom w:val="single" w:color="CCCCCC" w:sz="6" w:space="0"/>
      </w:pBdr>
      <w:shd w:val="clear" w:color="auto" w:fill="EEEEEE"/>
      <w:spacing w:before="100" w:beforeAutospacing="1" w:after="100" w:afterAutospacing="1" w:line="630" w:lineRule="atLeast"/>
      <w:jc w:val="left"/>
    </w:pPr>
    <w:rPr>
      <w:rFonts w:ascii="宋体" w:hAnsi="宋体" w:eastAsia="宋体" w:cs="宋体"/>
      <w:color w:val="333333"/>
      <w:kern w:val="0"/>
      <w:szCs w:val="21"/>
    </w:rPr>
  </w:style>
  <w:style w:type="character" w:customStyle="1" w:styleId="87">
    <w:name w:val="layui-layer-tabnow1"/>
    <w:basedOn w:val="12"/>
    <w:qFormat/>
    <w:uiPriority w:val="0"/>
    <w:rPr>
      <w:shd w:val="clear" w:color="auto" w:fill="FFFFFF"/>
    </w:rPr>
  </w:style>
  <w:style w:type="paragraph" w:customStyle="1" w:styleId="88">
    <w:name w:val="layui-layer-tabli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89">
    <w:name w:val="layui-layer-content6"/>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90">
    <w:name w:val="editinput"/>
    <w:basedOn w:val="12"/>
    <w:qFormat/>
    <w:uiPriority w:val="0"/>
  </w:style>
  <w:style w:type="character" w:customStyle="1" w:styleId="91">
    <w:name w:val="edittexttarea"/>
    <w:basedOn w:val="12"/>
    <w:uiPriority w:val="0"/>
  </w:style>
  <w:style w:type="character" w:customStyle="1" w:styleId="92">
    <w:name w:val="文档结构图 Char"/>
    <w:basedOn w:val="12"/>
    <w:link w:val="3"/>
    <w:semiHidden/>
    <w:uiPriority w:val="99"/>
    <w:rPr>
      <w:rFonts w:ascii="宋体" w:eastAsia="宋体"/>
      <w:sz w:val="18"/>
      <w:szCs w:val="18"/>
    </w:rPr>
  </w:style>
  <w:style w:type="paragraph" w:customStyle="1" w:styleId="9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4">
    <w:name w:val="批注文字 Char"/>
    <w:basedOn w:val="12"/>
    <w:link w:val="4"/>
    <w:semiHidden/>
    <w:uiPriority w:val="99"/>
  </w:style>
  <w:style w:type="character" w:customStyle="1" w:styleId="95">
    <w:name w:val="批注主题 Char"/>
    <w:basedOn w:val="94"/>
    <w:link w:val="9"/>
    <w:semiHidden/>
    <w:qFormat/>
    <w:uiPriority w:val="99"/>
    <w:rPr>
      <w:b/>
      <w:bCs/>
    </w:rPr>
  </w:style>
  <w:style w:type="character" w:customStyle="1" w:styleId="96">
    <w:name w:val="批注框文本 Char"/>
    <w:basedOn w:val="12"/>
    <w:link w:val="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110</Pages>
  <Words>8250</Words>
  <Characters>47030</Characters>
  <Lines>391</Lines>
  <Paragraphs>110</Paragraphs>
  <TotalTime>833</TotalTime>
  <ScaleCrop>false</ScaleCrop>
  <LinksUpToDate>false</LinksUpToDate>
  <CharactersWithSpaces>55170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2019-08-12T00:43:00Z</dcterms:created>
  <dc:creator>PC</dc:creator>
  <cp:lastModifiedBy>？hzw！</cp:lastModifiedBy>
  <cp:lastPrinted>2019-08-16T00:42:00Z</cp:lastPrinted>
  <dcterms:modified xsi:type="dcterms:W3CDTF">2019-08-16T08:23:22Z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